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36"/>
          <w:szCs w:val="36"/>
        </w:rPr>
      </w:pPr>
      <w:proofErr w:type="gramStart"/>
      <w:r>
        <w:rPr>
          <w:rFonts w:ascii="Helvetica Light" w:hAnsi="Helvetica Light" w:cs="Helvetica Light"/>
          <w:color w:val="464749"/>
          <w:sz w:val="36"/>
          <w:szCs w:val="36"/>
        </w:rPr>
        <w:t>Women veterans' experiences with domestic violence and with sexual harassment while in the military.</w:t>
      </w:r>
      <w:proofErr w:type="gramEnd"/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</w:rPr>
      </w:pPr>
      <w:r>
        <w:rPr>
          <w:rFonts w:ascii="Helvetica Light" w:hAnsi="Helvetica Light" w:cs="Helvetica Light"/>
          <w:color w:val="464749"/>
          <w:sz w:val="26"/>
          <w:szCs w:val="26"/>
        </w:rPr>
        <w:t>(PMID</w:t>
      </w:r>
      <w:proofErr w:type="gramStart"/>
      <w:r>
        <w:rPr>
          <w:rFonts w:ascii="Helvetica Light" w:hAnsi="Helvetica Light" w:cs="Helvetica Light"/>
          <w:color w:val="464749"/>
          <w:sz w:val="26"/>
          <w:szCs w:val="26"/>
        </w:rPr>
        <w:t>:7742963</w:t>
      </w:r>
      <w:proofErr w:type="gramEnd"/>
      <w:r>
        <w:rPr>
          <w:rFonts w:ascii="Helvetica Light" w:hAnsi="Helvetica Light" w:cs="Helvetica Light"/>
          <w:color w:val="464749"/>
          <w:sz w:val="26"/>
          <w:szCs w:val="26"/>
        </w:rPr>
        <w:t>)</w:t>
      </w:r>
    </w:p>
    <w:p w:rsidR="00AA1643" w:rsidRDefault="00AA1643" w:rsidP="00AA16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Helvetica Light"/>
          <w:color w:val="464749"/>
        </w:rPr>
      </w:pPr>
      <w:r>
        <w:rPr>
          <w:rFonts w:ascii="Helvetica" w:hAnsi="Helvetica" w:cs="Helvetica"/>
          <w:b/>
          <w:bCs/>
          <w:color w:val="464749"/>
        </w:rPr>
        <w:tab/>
      </w:r>
      <w:r>
        <w:rPr>
          <w:rFonts w:ascii="Helvetica" w:hAnsi="Helvetica" w:cs="Helvetica"/>
          <w:b/>
          <w:bCs/>
          <w:color w:val="464749"/>
        </w:rPr>
        <w:tab/>
      </w:r>
      <w:hyperlink r:id="rId6" w:history="1">
        <w:r>
          <w:rPr>
            <w:rFonts w:ascii="Helvetica Light" w:hAnsi="Helvetica Light" w:cs="Helvetica Light"/>
            <w:color w:val="1B558A"/>
          </w:rPr>
          <w:t>Murdoch M</w:t>
        </w:r>
      </w:hyperlink>
      <w:r>
        <w:rPr>
          <w:rFonts w:ascii="Helvetica Light" w:hAnsi="Helvetica Light" w:cs="Helvetica Light"/>
          <w:color w:val="464749"/>
        </w:rPr>
        <w:t xml:space="preserve">, </w:t>
      </w:r>
      <w:hyperlink r:id="rId7" w:history="1">
        <w:r>
          <w:rPr>
            <w:rFonts w:ascii="Helvetica Light" w:hAnsi="Helvetica Light" w:cs="Helvetica Light"/>
            <w:color w:val="1B558A"/>
          </w:rPr>
          <w:t>Nichol KL</w:t>
        </w:r>
      </w:hyperlink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</w:rPr>
      </w:pPr>
      <w:r>
        <w:rPr>
          <w:rFonts w:ascii="Helvetica Light" w:hAnsi="Helvetica Light" w:cs="Helvetica Light"/>
          <w:color w:val="464749"/>
        </w:rPr>
        <w:t>General Medicine Section, Minneapolis Veterans Affairs Medical Center, USA.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</w:rPr>
      </w:pP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</w:rPr>
      </w:pPr>
      <w:hyperlink r:id="rId8" w:history="1">
        <w:r>
          <w:rPr>
            <w:rFonts w:ascii="Helvetica Light" w:hAnsi="Helvetica Light" w:cs="Helvetica Light"/>
            <w:color w:val="1B558A"/>
          </w:rPr>
          <w:t>Archives of Family Medicine</w:t>
        </w:r>
      </w:hyperlink>
      <w:r>
        <w:rPr>
          <w:rFonts w:ascii="Helvetica Light" w:hAnsi="Helvetica Light" w:cs="Helvetica Light"/>
          <w:color w:val="464749"/>
        </w:rPr>
        <w:t xml:space="preserve"> [1995, 4(5)</w:t>
      </w:r>
      <w:proofErr w:type="gramStart"/>
      <w:r>
        <w:rPr>
          <w:rFonts w:ascii="Helvetica Light" w:hAnsi="Helvetica Light" w:cs="Helvetica Light"/>
          <w:color w:val="464749"/>
        </w:rPr>
        <w:t>:411</w:t>
      </w:r>
      <w:proofErr w:type="gramEnd"/>
      <w:r>
        <w:rPr>
          <w:rFonts w:ascii="Helvetica Light" w:hAnsi="Helvetica Light" w:cs="Helvetica Light"/>
          <w:color w:val="464749"/>
        </w:rPr>
        <w:t>-418]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</w:rPr>
      </w:pPr>
      <w:r>
        <w:rPr>
          <w:rFonts w:ascii="Helvetica" w:hAnsi="Helvetica" w:cs="Helvetica"/>
          <w:b/>
          <w:bCs/>
          <w:color w:val="464749"/>
        </w:rPr>
        <w:t>Type:</w:t>
      </w:r>
      <w:r>
        <w:rPr>
          <w:rFonts w:ascii="Helvetica Light" w:hAnsi="Helvetica Light" w:cs="Helvetica Light"/>
          <w:color w:val="464749"/>
        </w:rPr>
        <w:t xml:space="preserve"> Journal Article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</w:rPr>
      </w:pPr>
      <w:bookmarkStart w:id="0" w:name="_GoBack"/>
      <w:bookmarkEnd w:id="0"/>
    </w:p>
    <w:tbl>
      <w:tblPr>
        <w:tblW w:w="11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00"/>
      </w:tblGrid>
      <w:tr w:rsidR="00AA1643" w:rsidTr="00AA1643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AA1643" w:rsidRDefault="00AA164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464749"/>
              </w:rPr>
            </w:pPr>
            <w:r>
              <w:rPr>
                <w:rFonts w:ascii="Helvetica" w:hAnsi="Helvetica" w:cs="Helvetica"/>
                <w:b/>
                <w:bCs/>
                <w:color w:val="464749"/>
              </w:rPr>
              <w:t>Abstract</w:t>
            </w:r>
          </w:p>
        </w:tc>
      </w:tr>
    </w:tbl>
    <w:p w:rsidR="00AA1643" w:rsidRDefault="00AA1643" w:rsidP="00AA1643">
      <w:pPr>
        <w:rPr>
          <w:sz w:val="22"/>
          <w:szCs w:val="22"/>
        </w:rPr>
      </w:pP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  <w:r>
        <w:rPr>
          <w:rFonts w:ascii="Helvetica Light" w:hAnsi="Helvetica Light" w:cs="Helvetica Light"/>
          <w:color w:val="464749"/>
          <w:sz w:val="26"/>
          <w:szCs w:val="26"/>
          <w:u w:val="single" w:color="464749"/>
        </w:rPr>
        <w:t>BACKGROUND</w:t>
      </w:r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: Both </w:t>
      </w:r>
      <w:hyperlink r:id="rId9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and </w:t>
      </w:r>
      <w:hyperlink r:id="rId10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may adversely affect women's health but often go unrecognized.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  <w:r>
        <w:rPr>
          <w:rFonts w:ascii="Helvetica Light" w:hAnsi="Helvetica Light" w:cs="Helvetica Light"/>
          <w:color w:val="464749"/>
          <w:sz w:val="26"/>
          <w:szCs w:val="26"/>
          <w:u w:val="single" w:color="464749"/>
        </w:rPr>
        <w:t>OBJECTIVE</w:t>
      </w:r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: To assess women veterans' experiences with </w:t>
      </w:r>
      <w:hyperlink r:id="rId11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and with </w:t>
      </w:r>
      <w:hyperlink r:id="rId12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while in the military as well as the relationship of such experiences to health and health care utilization.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  <w:r>
        <w:rPr>
          <w:rFonts w:ascii="Helvetica Light" w:hAnsi="Helvetica Light" w:cs="Helvetica Light"/>
          <w:color w:val="464749"/>
          <w:sz w:val="26"/>
          <w:szCs w:val="26"/>
          <w:u w:val="single" w:color="464749"/>
        </w:rPr>
        <w:t>METHODS</w:t>
      </w:r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>: We surveyed all 191 women hospitalized from March 1992 to 1993 at the Minneapolis (</w:t>
      </w:r>
      <w:proofErr w:type="spellStart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>Minn</w:t>
      </w:r>
      <w:proofErr w:type="spellEnd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>) Veterans Affairs Medical Center and 411 randomly selected female outpatients. Data were collected using an anonymous validated questionnaire.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  <w:r>
        <w:rPr>
          <w:rFonts w:ascii="Helvetica Light" w:hAnsi="Helvetica Light" w:cs="Helvetica Light"/>
          <w:color w:val="464749"/>
          <w:sz w:val="26"/>
          <w:szCs w:val="26"/>
          <w:u w:val="single" w:color="464749"/>
        </w:rPr>
        <w:t>RESULTS</w:t>
      </w:r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: Results were stratified by age and analyzed using both </w:t>
      </w:r>
      <w:proofErr w:type="spellStart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>bivariable</w:t>
      </w:r>
      <w:proofErr w:type="spellEnd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and multivariable techniques. Twenty-four percent of respondents under age 50 years reported </w:t>
      </w:r>
      <w:hyperlink r:id="rId13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in the past year and 90% reported </w:t>
      </w:r>
      <w:hyperlink r:id="rId14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while in the military. Among older respondents, 7% said they had experienced </w:t>
      </w:r>
      <w:hyperlink r:id="rId15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in the past year and 37% reported a history of </w:t>
      </w:r>
      <w:hyperlink r:id="rId16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while in the military. Of those who reported </w:t>
      </w:r>
      <w:hyperlink r:id="rId17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in the past year, 50% of respondents under age 50 years and 28% of older respondents said that at least one assault was </w:t>
      </w:r>
      <w:proofErr w:type="gramStart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>life-threatening</w:t>
      </w:r>
      <w:proofErr w:type="gramEnd"/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. Rates of reports of completed and attempted sexual assaults while in the military were 20 times higher than previous reports by other government employees. Respondents with a history of either </w:t>
      </w:r>
      <w:hyperlink r:id="rId18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(odds ratio, 2.83; 95% confidence interval [CI], 1.38 to 5.78) or </w:t>
      </w:r>
      <w:hyperlink r:id="rId19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while in the military (odds ratio, 2.84; 95% CI, 1.22 to 6.53) were more than twice as likely to report a history of anxiety or </w:t>
      </w:r>
      <w:hyperlink r:id="rId20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depression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, and a history of </w:t>
      </w:r>
      <w:hyperlink r:id="rId21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was associated with more lifetime surgical procedures (odds ratio, 1.21; 95% CI, 1.10 to 1.33).</w:t>
      </w:r>
    </w:p>
    <w:p w:rsidR="00AA1643" w:rsidRDefault="00AA1643" w:rsidP="00AA1643">
      <w:pPr>
        <w:widowControl w:val="0"/>
        <w:autoSpaceDE w:val="0"/>
        <w:autoSpaceDN w:val="0"/>
        <w:adjustRightInd w:val="0"/>
        <w:rPr>
          <w:rFonts w:ascii="Helvetica Light" w:hAnsi="Helvetica Light" w:cs="Helvetica Light"/>
          <w:color w:val="464749"/>
          <w:sz w:val="26"/>
          <w:szCs w:val="26"/>
          <w:u w:color="464749"/>
        </w:rPr>
      </w:pPr>
    </w:p>
    <w:p w:rsidR="00AA1643" w:rsidRPr="00AA1643" w:rsidRDefault="00AA1643" w:rsidP="00AA1643">
      <w:r>
        <w:rPr>
          <w:rFonts w:ascii="Helvetica Light" w:hAnsi="Helvetica Light" w:cs="Helvetica Light"/>
          <w:color w:val="464749"/>
          <w:sz w:val="26"/>
          <w:szCs w:val="26"/>
          <w:u w:val="single" w:color="464749"/>
        </w:rPr>
        <w:t>CONCLUSIONS</w:t>
      </w:r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: Histories of </w:t>
      </w:r>
      <w:hyperlink r:id="rId22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domestic violence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within the past year and of </w:t>
      </w:r>
      <w:hyperlink r:id="rId23" w:history="1">
        <w:r>
          <w:rPr>
            <w:rFonts w:ascii="Helvetica Light" w:hAnsi="Helvetica Light" w:cs="Helvetica Light"/>
            <w:color w:val="464749"/>
            <w:sz w:val="26"/>
            <w:szCs w:val="26"/>
            <w:u w:color="464749"/>
          </w:rPr>
          <w:t>sexual harassment</w:t>
        </w:r>
      </w:hyperlink>
      <w:r>
        <w:rPr>
          <w:rFonts w:ascii="Helvetica Light" w:hAnsi="Helvetica Light" w:cs="Helvetica Light"/>
          <w:color w:val="464749"/>
          <w:sz w:val="26"/>
          <w:szCs w:val="26"/>
          <w:u w:color="464749"/>
        </w:rPr>
        <w:t xml:space="preserve"> while in the military are common among women veterans. Both may be associated with adverse effects on mental and physical health.</w:t>
      </w:r>
    </w:p>
    <w:sectPr w:rsidR="00AA1643" w:rsidRPr="00AA1643" w:rsidSect="00F544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43"/>
    <w:rsid w:val="00AA1643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CD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6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6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uropepmc.org/abstract/MED/7742963/?whatizit_url=http://europepmc.org/search/?page=1&amp;query=%22domestic%20violence%22" TargetMode="External"/><Relationship Id="rId20" Type="http://schemas.openxmlformats.org/officeDocument/2006/relationships/hyperlink" Target="http://europepmc.org/abstract/MED/7742963/?whatizit_url=http://europepmc.org/search/?page=1&amp;query=%22depression%22" TargetMode="External"/><Relationship Id="rId21" Type="http://schemas.openxmlformats.org/officeDocument/2006/relationships/hyperlink" Target="http://europepmc.org/abstract/MED/7742963/?whatizit_url=http://europepmc.org/search/?page=1&amp;query=%22domestic%20violence%22" TargetMode="External"/><Relationship Id="rId22" Type="http://schemas.openxmlformats.org/officeDocument/2006/relationships/hyperlink" Target="http://europepmc.org/abstract/MED/7742963/?whatizit_url=http://europepmc.org/search/?page=1&amp;query=%22domestic%20violence%22" TargetMode="External"/><Relationship Id="rId23" Type="http://schemas.openxmlformats.org/officeDocument/2006/relationships/hyperlink" Target="http://europepmc.org/abstract/MED/7742963/?whatizit_url=http://europepmc.org/search/?page=1&amp;query=%22sexual%20harassment%22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europepmc.org/abstract/MED/7742963/?whatizit_url=http://europepmc.org/search/?page=1&amp;query=%22sexual%20harassment%22" TargetMode="External"/><Relationship Id="rId11" Type="http://schemas.openxmlformats.org/officeDocument/2006/relationships/hyperlink" Target="http://europepmc.org/abstract/MED/7742963/?whatizit_url=http://europepmc.org/search/?page=1&amp;query=%22domestic%20violence%22" TargetMode="External"/><Relationship Id="rId12" Type="http://schemas.openxmlformats.org/officeDocument/2006/relationships/hyperlink" Target="http://europepmc.org/abstract/MED/7742963/?whatizit_url=http://europepmc.org/search/?page=1&amp;query=%22sexual%20harassment%22" TargetMode="External"/><Relationship Id="rId13" Type="http://schemas.openxmlformats.org/officeDocument/2006/relationships/hyperlink" Target="http://europepmc.org/abstract/MED/7742963/?whatizit_url=http://europepmc.org/search/?page=1&amp;query=%22domestic%20violence%22" TargetMode="External"/><Relationship Id="rId14" Type="http://schemas.openxmlformats.org/officeDocument/2006/relationships/hyperlink" Target="http://europepmc.org/abstract/MED/7742963/?whatizit_url=http://europepmc.org/search/?page=1&amp;query=%22sexual%20harassment%22" TargetMode="External"/><Relationship Id="rId15" Type="http://schemas.openxmlformats.org/officeDocument/2006/relationships/hyperlink" Target="http://europepmc.org/abstract/MED/7742963/?whatizit_url=http://europepmc.org/search/?page=1&amp;query=%22domestic%20violence%22" TargetMode="External"/><Relationship Id="rId16" Type="http://schemas.openxmlformats.org/officeDocument/2006/relationships/hyperlink" Target="http://europepmc.org/abstract/MED/7742963/?whatizit_url=http://europepmc.org/search/?page=1&amp;query=%22sexual%20harassment%22" TargetMode="External"/><Relationship Id="rId17" Type="http://schemas.openxmlformats.org/officeDocument/2006/relationships/hyperlink" Target="http://europepmc.org/abstract/MED/7742963/?whatizit_url=http://europepmc.org/search/?page=1&amp;query=%22domestic%20violence%22" TargetMode="External"/><Relationship Id="rId18" Type="http://schemas.openxmlformats.org/officeDocument/2006/relationships/hyperlink" Target="http://europepmc.org/abstract/MED/7742963/?whatizit_url=http://europepmc.org/search/?page=1&amp;query=%22domestic%20violence%22" TargetMode="External"/><Relationship Id="rId19" Type="http://schemas.openxmlformats.org/officeDocument/2006/relationships/hyperlink" Target="http://europepmc.org/abstract/MED/7742963/?whatizit_url=http://europepmc.org/search/?page=1&amp;query=%22sexual%20harassment%2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uropepmc.org/search?page=1&amp;query=AUTH:%22Murdoch+M%22" TargetMode="External"/><Relationship Id="rId7" Type="http://schemas.openxmlformats.org/officeDocument/2006/relationships/hyperlink" Target="http://europepmc.org/search?page=1&amp;query=AUTH:%22Nichol+KL%22" TargetMode="External"/><Relationship Id="rId8" Type="http://schemas.openxmlformats.org/officeDocument/2006/relationships/hyperlink" Target="http://europepmc.org/search?page=1&amp;query=ISSN:%221063-3987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3882</Characters>
  <Application>Microsoft Macintosh Word</Application>
  <DocSecurity>0</DocSecurity>
  <Lines>32</Lines>
  <Paragraphs>9</Paragraphs>
  <ScaleCrop>false</ScaleCrop>
  <Company>San Jose State University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Klaw</dc:creator>
  <cp:keywords/>
  <dc:description/>
  <cp:lastModifiedBy>Elena  Klaw</cp:lastModifiedBy>
  <cp:revision>2</cp:revision>
  <dcterms:created xsi:type="dcterms:W3CDTF">2014-03-17T03:04:00Z</dcterms:created>
  <dcterms:modified xsi:type="dcterms:W3CDTF">2014-03-17T03:04:00Z</dcterms:modified>
</cp:coreProperties>
</file>