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0C" w:rsidRPr="00322EBB" w:rsidRDefault="00254C0C" w:rsidP="00254C0C">
      <w:pPr>
        <w:pStyle w:val="Heading2"/>
        <w:jc w:val="center"/>
      </w:pPr>
      <w:r>
        <w:t>ENGL 1A section 17 Spring</w:t>
      </w:r>
      <w:r w:rsidRPr="00664863">
        <w:t xml:space="preserve"> 201</w:t>
      </w:r>
      <w:r>
        <w:t>7</w:t>
      </w:r>
      <w:r w:rsidRPr="00664863">
        <w:t xml:space="preserve"> </w:t>
      </w:r>
      <w:r>
        <w:t xml:space="preserve"> </w:t>
      </w:r>
      <w:r w:rsidRPr="00310987">
        <w:t>Course Schedule</w:t>
      </w:r>
      <w:r>
        <w:t xml:space="preserve"> </w:t>
      </w:r>
    </w:p>
    <w:p w:rsidR="00254C0C" w:rsidRPr="00D934A8" w:rsidRDefault="00254C0C" w:rsidP="00254C0C">
      <w:pPr>
        <w:pStyle w:val="Heading2"/>
        <w:rPr>
          <w:b w:val="0"/>
        </w:rPr>
      </w:pPr>
      <w:r>
        <w:rPr>
          <w:u w:val="single"/>
        </w:rPr>
        <w:t>Directions</w:t>
      </w:r>
      <w:r w:rsidRPr="00D934A8">
        <w:t>:</w:t>
      </w:r>
      <w:r w:rsidRPr="00E8282A">
        <w:rPr>
          <w:b w:val="0"/>
        </w:rPr>
        <w:t xml:space="preserve"> </w:t>
      </w:r>
      <w:r>
        <w:rPr>
          <w:b w:val="0"/>
        </w:rPr>
        <w:t>Except for the first day, w</w:t>
      </w:r>
      <w:r w:rsidRPr="00E8282A">
        <w:rPr>
          <w:b w:val="0"/>
        </w:rPr>
        <w:t xml:space="preserve">hatever follows </w:t>
      </w:r>
      <w:r w:rsidRPr="00D934A8">
        <w:t>“Read”</w:t>
      </w:r>
      <w:r w:rsidRPr="00E8282A">
        <w:rPr>
          <w:b w:val="0"/>
        </w:rPr>
        <w:t xml:space="preserve"> is </w:t>
      </w:r>
      <w:r>
        <w:rPr>
          <w:b w:val="0"/>
        </w:rPr>
        <w:t>what</w:t>
      </w:r>
      <w:r w:rsidRPr="00E8282A">
        <w:rPr>
          <w:b w:val="0"/>
        </w:rPr>
        <w:t xml:space="preserve"> we will discuss in class that day, so you should read it, bring it to class, and be ready to discuss (and be quizzed on) that reading </w:t>
      </w:r>
      <w:r>
        <w:rPr>
          <w:b w:val="0"/>
        </w:rPr>
        <w:t>that day</w:t>
      </w:r>
      <w:r w:rsidRPr="00E8282A">
        <w:rPr>
          <w:b w:val="0"/>
        </w:rPr>
        <w:t>. For instance, on</w:t>
      </w:r>
      <w:r>
        <w:rPr>
          <w:b w:val="0"/>
        </w:rPr>
        <w:t xml:space="preserve"> T 1/31, </w:t>
      </w:r>
      <w:r w:rsidRPr="00E8282A">
        <w:rPr>
          <w:b w:val="0"/>
        </w:rPr>
        <w:t xml:space="preserve">you should have read pp. </w:t>
      </w:r>
      <w:r>
        <w:rPr>
          <w:b w:val="0"/>
        </w:rPr>
        <w:t>26-32</w:t>
      </w:r>
      <w:r w:rsidRPr="00E8282A">
        <w:rPr>
          <w:b w:val="0"/>
        </w:rPr>
        <w:t xml:space="preserve"> in the text, </w:t>
      </w:r>
      <w:r>
        <w:rPr>
          <w:b w:val="0"/>
        </w:rPr>
        <w:t xml:space="preserve">the text is </w:t>
      </w:r>
      <w:r w:rsidRPr="00D934A8">
        <w:rPr>
          <w:b w:val="0"/>
          <w:i/>
        </w:rPr>
        <w:t>The Norton Field Guide to Writing</w:t>
      </w:r>
      <w:r>
        <w:rPr>
          <w:b w:val="0"/>
        </w:rPr>
        <w:t xml:space="preserve"> 4</w:t>
      </w:r>
      <w:r w:rsidRPr="00F31AD9">
        <w:rPr>
          <w:b w:val="0"/>
          <w:vertAlign w:val="superscript"/>
        </w:rPr>
        <w:t>th</w:t>
      </w:r>
      <w:r>
        <w:rPr>
          <w:b w:val="0"/>
        </w:rPr>
        <w:t xml:space="preserve"> edition. Whe</w:t>
      </w:r>
      <w:r w:rsidRPr="00E8282A">
        <w:rPr>
          <w:b w:val="0"/>
        </w:rPr>
        <w:t xml:space="preserve">re it says </w:t>
      </w:r>
      <w:r w:rsidRPr="00D934A8">
        <w:t>“DUE,”</w:t>
      </w:r>
      <w:r w:rsidRPr="00E8282A">
        <w:rPr>
          <w:b w:val="0"/>
        </w:rPr>
        <w:t xml:space="preserve"> that means whatever follows is due at the beginning of class where that appears. If you’re late, so is your paper.</w:t>
      </w:r>
      <w:r>
        <w:rPr>
          <w:b w:val="0"/>
        </w:rPr>
        <w:t xml:space="preserve"> Where it says </w:t>
      </w:r>
      <w:r>
        <w:t xml:space="preserve">“(online),” </w:t>
      </w:r>
      <w:r>
        <w:rPr>
          <w:b w:val="0"/>
        </w:rPr>
        <w:t xml:space="preserve">that means the reading is posted on the </w:t>
      </w:r>
      <w:hyperlink r:id="rId6" w:history="1">
        <w:r w:rsidRPr="00F53AC3">
          <w:rPr>
            <w:rStyle w:val="Hyperlink"/>
            <w:b w:val="0"/>
          </w:rPr>
          <w:t>course Web site</w:t>
        </w:r>
      </w:hyperlink>
      <w:r>
        <w:rPr>
          <w:b w:val="0"/>
        </w:rPr>
        <w:t xml:space="preserve"> (not necessarily on Canvas).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90"/>
        <w:gridCol w:w="8640"/>
      </w:tblGrid>
      <w:tr w:rsidR="00254C0C" w:rsidRPr="00310987" w:rsidTr="00E848BD">
        <w:trPr>
          <w:trHeight w:val="286"/>
          <w:tblHeader/>
        </w:trPr>
        <w:tc>
          <w:tcPr>
            <w:tcW w:w="810" w:type="dxa"/>
          </w:tcPr>
          <w:p w:rsidR="00254C0C" w:rsidRPr="00DC57E0" w:rsidRDefault="00254C0C" w:rsidP="00E848BD">
            <w:pPr>
              <w:pStyle w:val="contactheading"/>
              <w:jc w:val="center"/>
              <w:rPr>
                <w:b w:val="0"/>
              </w:rPr>
            </w:pPr>
            <w:r w:rsidRPr="00DC57E0">
              <w:rPr>
                <w:b w:val="0"/>
                <w:sz w:val="22"/>
              </w:rPr>
              <w:t>Week</w:t>
            </w:r>
          </w:p>
        </w:tc>
        <w:tc>
          <w:tcPr>
            <w:tcW w:w="990" w:type="dxa"/>
          </w:tcPr>
          <w:p w:rsidR="00254C0C" w:rsidRPr="00DC57E0" w:rsidRDefault="00254C0C" w:rsidP="00E848BD">
            <w:pPr>
              <w:pStyle w:val="contactheading"/>
              <w:jc w:val="center"/>
              <w:rPr>
                <w:b w:val="0"/>
              </w:rPr>
            </w:pPr>
            <w:r w:rsidRPr="00DC57E0">
              <w:rPr>
                <w:b w:val="0"/>
                <w:sz w:val="22"/>
              </w:rPr>
              <w:t>Date</w:t>
            </w:r>
          </w:p>
        </w:tc>
        <w:tc>
          <w:tcPr>
            <w:tcW w:w="8640" w:type="dxa"/>
          </w:tcPr>
          <w:p w:rsidR="00254C0C" w:rsidRPr="00310987" w:rsidRDefault="00254C0C" w:rsidP="00E848BD">
            <w:pPr>
              <w:pStyle w:val="contactheading"/>
              <w:jc w:val="center"/>
            </w:pPr>
            <w:r w:rsidRPr="00310987">
              <w:t>Topics, Readings, Assignments, Deadlines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1/26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4C0C" w:rsidRDefault="00254C0C" w:rsidP="00E848BD">
            <w:r>
              <w:t>Introduction to the Course, Pathways themes, brief in-class writing</w:t>
            </w:r>
            <w:r w:rsidRPr="00DE3A48">
              <w:t xml:space="preserve">  </w:t>
            </w:r>
          </w:p>
          <w:p w:rsidR="00254C0C" w:rsidRPr="00310987" w:rsidRDefault="00254C0C" w:rsidP="00E848BD"/>
        </w:tc>
      </w:tr>
      <w:tr w:rsidR="00254C0C" w:rsidRPr="00310987" w:rsidTr="00E848BD">
        <w:trPr>
          <w:trHeight w:val="286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2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1/31</w:t>
            </w:r>
          </w:p>
        </w:tc>
        <w:tc>
          <w:tcPr>
            <w:tcW w:w="8640" w:type="dxa"/>
          </w:tcPr>
          <w:p w:rsidR="00254C0C" w:rsidRDefault="00254C0C" w:rsidP="00E848BD">
            <w:r w:rsidRPr="00D934A8">
              <w:rPr>
                <w:b/>
              </w:rPr>
              <w:t xml:space="preserve">Unit One: Introduction to Rhetorical Analysis </w:t>
            </w:r>
            <w:r w:rsidRPr="00D934A8">
              <w:rPr>
                <w:u w:val="single"/>
              </w:rPr>
              <w:t>Read:</w:t>
            </w:r>
            <w:r>
              <w:t xml:space="preserve"> “Change is Never Easy, But It’s Possible” (online) and </w:t>
            </w:r>
            <w:r w:rsidRPr="00D3705A">
              <w:rPr>
                <w:u w:val="single"/>
              </w:rPr>
              <w:t>text</w:t>
            </w:r>
            <w:r>
              <w:t>: Reading Critically &amp; rhetorically pp. 26-32</w:t>
            </w:r>
          </w:p>
          <w:p w:rsidR="00254C0C" w:rsidRPr="008E0A80" w:rsidRDefault="00254C0C" w:rsidP="00E848BD"/>
        </w:tc>
      </w:tr>
      <w:tr w:rsidR="00254C0C" w:rsidRPr="00310987" w:rsidTr="00E848BD">
        <w:trPr>
          <w:trHeight w:val="953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2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2/2</w:t>
            </w:r>
          </w:p>
        </w:tc>
        <w:tc>
          <w:tcPr>
            <w:tcW w:w="8640" w:type="dxa"/>
          </w:tcPr>
          <w:p w:rsidR="00254C0C" w:rsidRPr="00310987" w:rsidRDefault="00254C0C" w:rsidP="00E848BD">
            <w:pPr>
              <w:spacing w:after="200" w:line="276" w:lineRule="auto"/>
            </w:pPr>
            <w:r>
              <w:t xml:space="preserve"> Rhetorical analysis, continued: </w:t>
            </w:r>
            <w:r w:rsidRPr="00667959">
              <w:rPr>
                <w:b/>
              </w:rPr>
              <w:t>Ethos</w:t>
            </w:r>
            <w:r>
              <w:t xml:space="preserve"> + </w:t>
            </w:r>
            <w:r w:rsidRPr="00667959">
              <w:rPr>
                <w:b/>
              </w:rPr>
              <w:t>Logos</w:t>
            </w:r>
            <w:r>
              <w:t xml:space="preserve">  </w:t>
            </w:r>
            <w:r>
              <w:rPr>
                <w:u w:val="single"/>
              </w:rPr>
              <w:t>Read</w:t>
            </w:r>
            <w:r w:rsidRPr="001A4AFC">
              <w:t xml:space="preserve">: </w:t>
            </w:r>
            <w:r>
              <w:t>“</w:t>
            </w:r>
            <w:r w:rsidRPr="00667959">
              <w:t>The young must lead on climate change</w:t>
            </w:r>
            <w:r>
              <w:t xml:space="preserve">” and “How to Prevent ‘Climate Refugees’” (online) and </w:t>
            </w:r>
            <w:r w:rsidRPr="00D3705A">
              <w:rPr>
                <w:u w:val="single"/>
              </w:rPr>
              <w:t>text</w:t>
            </w:r>
            <w:r>
              <w:t>: Summarizing and Responding pp. 33-39, and Stance 64-67</w:t>
            </w:r>
            <w:r w:rsidRPr="0067340E">
              <w:rPr>
                <w:b/>
              </w:rPr>
              <w:t xml:space="preserve"> DUE:</w:t>
            </w:r>
            <w:r>
              <w:t xml:space="preserve"> Writing History essay: (DSP) literacy narrative (submit to Canvas)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>
              <w:t>3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2/7</w:t>
            </w:r>
          </w:p>
        </w:tc>
        <w:tc>
          <w:tcPr>
            <w:tcW w:w="8640" w:type="dxa"/>
          </w:tcPr>
          <w:p w:rsidR="00254C0C" w:rsidRPr="00D07157" w:rsidRDefault="00254C0C" w:rsidP="00E848BD">
            <w:pPr>
              <w:spacing w:before="100" w:beforeAutospacing="1" w:after="100" w:afterAutospacing="1"/>
              <w:outlineLvl w:val="1"/>
              <w:rPr>
                <w:rFonts w:eastAsia="Times New Roman"/>
                <w:b/>
                <w:bCs/>
                <w:szCs w:val="36"/>
              </w:rPr>
            </w:pPr>
            <w:r>
              <w:t xml:space="preserve">Rhetorical Analysis, continued </w:t>
            </w:r>
            <w:r>
              <w:rPr>
                <w:b/>
              </w:rPr>
              <w:t>Ethos + Pathos</w:t>
            </w:r>
            <w:r>
              <w:t xml:space="preserve"> </w:t>
            </w:r>
            <w:r w:rsidRPr="00E8282A">
              <w:rPr>
                <w:u w:val="single"/>
              </w:rPr>
              <w:t>Read</w:t>
            </w:r>
            <w:r w:rsidRPr="00417CB6">
              <w:t xml:space="preserve">: </w:t>
            </w:r>
            <w:r>
              <w:t xml:space="preserve">Angelina Jolie and Ben Carson on Syrian refugee crisis </w:t>
            </w:r>
            <w:r>
              <w:rPr>
                <w:rFonts w:eastAsia="Times New Roman"/>
                <w:bCs/>
                <w:szCs w:val="36"/>
              </w:rPr>
              <w:t xml:space="preserve">(online) and </w:t>
            </w:r>
            <w:r w:rsidRPr="00D3705A">
              <w:rPr>
                <w:u w:val="single"/>
              </w:rPr>
              <w:t>text</w:t>
            </w:r>
            <w:r w:rsidRPr="00D07157">
              <w:t xml:space="preserve">: Purpose and audience </w:t>
            </w:r>
            <w:r>
              <w:t xml:space="preserve">pp. 55-60 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3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2/9</w:t>
            </w:r>
          </w:p>
        </w:tc>
        <w:tc>
          <w:tcPr>
            <w:tcW w:w="8640" w:type="dxa"/>
          </w:tcPr>
          <w:p w:rsidR="00254C0C" w:rsidRPr="00667959" w:rsidRDefault="00254C0C" w:rsidP="00E848BD">
            <w:pPr>
              <w:pStyle w:val="Tabletext"/>
            </w:pPr>
            <w:r>
              <w:t xml:space="preserve">Active and </w:t>
            </w:r>
            <w:r w:rsidRPr="005A722F">
              <w:t xml:space="preserve">Rhetorical </w:t>
            </w:r>
            <w:r>
              <w:t xml:space="preserve">Reading  </w:t>
            </w:r>
            <w:r>
              <w:rPr>
                <w:u w:val="single"/>
              </w:rPr>
              <w:t>Read:</w:t>
            </w:r>
            <w:r>
              <w:t xml:space="preserve"> “Regrets of an Accomplished Child” and </w:t>
            </w:r>
            <w:r w:rsidRPr="00D07157">
              <w:rPr>
                <w:u w:val="single"/>
              </w:rPr>
              <w:t>text</w:t>
            </w:r>
            <w:r>
              <w:t xml:space="preserve">: Developing Academic Habits of Mind pp. 16-22 + 45-52 </w:t>
            </w:r>
            <w:r w:rsidRPr="00742E9A">
              <w:rPr>
                <w:b/>
              </w:rPr>
              <w:t>DUE</w:t>
            </w:r>
            <w:r>
              <w:t xml:space="preserve">: </w:t>
            </w:r>
            <w:r w:rsidRPr="00C457A6">
              <w:rPr>
                <w:u w:val="single"/>
              </w:rPr>
              <w:t>annotated argument homework</w:t>
            </w:r>
            <w:r>
              <w:t xml:space="preserve"> (annotate the “Regrets” essay)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>
              <w:t>4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2/14</w:t>
            </w:r>
          </w:p>
        </w:tc>
        <w:tc>
          <w:tcPr>
            <w:tcW w:w="8640" w:type="dxa"/>
          </w:tcPr>
          <w:p w:rsidR="00254C0C" w:rsidRPr="003020CB" w:rsidRDefault="00254C0C" w:rsidP="00E848BD">
            <w:pPr>
              <w:rPr>
                <w:lang w:eastAsia="en-US"/>
              </w:rPr>
            </w:pPr>
            <w:r w:rsidRPr="00736587">
              <w:t>Review</w:t>
            </w:r>
            <w:r>
              <w:t xml:space="preserve"> Rhetorical Analysis, review. Show what you know </w:t>
            </w:r>
            <w:r w:rsidRPr="008E0A80">
              <w:rPr>
                <w:b/>
              </w:rPr>
              <w:t>in-class writing</w:t>
            </w:r>
            <w:r>
              <w:t xml:space="preserve">  </w:t>
            </w:r>
            <w:r w:rsidRPr="00D934A8">
              <w:rPr>
                <w:u w:val="single"/>
              </w:rPr>
              <w:t>Read:</w:t>
            </w:r>
            <w:r>
              <w:t xml:space="preserve"> “Travel as a Political Act” (online)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4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2/16</w:t>
            </w:r>
          </w:p>
        </w:tc>
        <w:tc>
          <w:tcPr>
            <w:tcW w:w="8640" w:type="dxa"/>
          </w:tcPr>
          <w:p w:rsidR="00254C0C" w:rsidRPr="00310987" w:rsidRDefault="00254C0C" w:rsidP="00E848BD">
            <w:pPr>
              <w:pStyle w:val="Tabletext"/>
            </w:pPr>
            <w:r w:rsidRPr="000D3A17">
              <w:rPr>
                <w:b/>
              </w:rPr>
              <w:t>Unit Two: The Profile Essay</w:t>
            </w:r>
            <w:r w:rsidRPr="003153C6">
              <w:t xml:space="preserve"> </w:t>
            </w:r>
            <w:r w:rsidRPr="003C438C">
              <w:rPr>
                <w:u w:val="single"/>
              </w:rPr>
              <w:t>Read</w:t>
            </w:r>
            <w:r>
              <w:t>: text 224-234 + student sample (online)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 2/21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4C0C" w:rsidRPr="003153C6" w:rsidRDefault="00254C0C" w:rsidP="00E848BD">
            <w:pPr>
              <w:pStyle w:val="Tabletext"/>
            </w:pPr>
            <w:r>
              <w:t xml:space="preserve">Writing workshop for profile essays: asking good questions </w:t>
            </w:r>
            <w:r w:rsidRPr="00433EFA">
              <w:rPr>
                <w:sz w:val="22"/>
                <w:u w:val="single"/>
              </w:rPr>
              <w:t>Read</w:t>
            </w:r>
            <w:r w:rsidRPr="00433EFA">
              <w:rPr>
                <w:sz w:val="22"/>
              </w:rPr>
              <w:t>:</w:t>
            </w:r>
            <w:r>
              <w:rPr>
                <w:sz w:val="22"/>
              </w:rPr>
              <w:t xml:space="preserve"> text 251-254, “Martin Curiel: Jefferson Award” + other profiles of Martin (online)</w:t>
            </w:r>
            <w:r>
              <w:t xml:space="preserve"> 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 2/23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r>
              <w:t xml:space="preserve">Workshop for profile essays: incorporating quotes </w:t>
            </w:r>
            <w:r w:rsidRPr="00433EFA">
              <w:rPr>
                <w:sz w:val="22"/>
                <w:u w:val="single"/>
              </w:rPr>
              <w:t>Read</w:t>
            </w:r>
            <w:r w:rsidRPr="00433EFA">
              <w:rPr>
                <w:sz w:val="22"/>
              </w:rPr>
              <w:t>:</w:t>
            </w:r>
            <w:r>
              <w:rPr>
                <w:sz w:val="22"/>
              </w:rPr>
              <w:t xml:space="preserve"> text 478-490+ </w:t>
            </w:r>
            <w:r>
              <w:t>Spartan Profiles (online</w:t>
            </w:r>
            <w:r>
              <w:rPr>
                <w:sz w:val="22"/>
              </w:rPr>
              <w:t xml:space="preserve">) </w:t>
            </w:r>
            <w:r w:rsidRPr="00742E9A">
              <w:rPr>
                <w:b/>
              </w:rPr>
              <w:t>DUE</w:t>
            </w:r>
            <w:r>
              <w:t>: topic proposal for Profile Essay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6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2/28</w:t>
            </w:r>
          </w:p>
        </w:tc>
        <w:tc>
          <w:tcPr>
            <w:tcW w:w="8640" w:type="dxa"/>
          </w:tcPr>
          <w:p w:rsidR="00254C0C" w:rsidRPr="00D20E40" w:rsidRDefault="00254C0C" w:rsidP="00E848BD">
            <w:pPr>
              <w:pStyle w:val="Tabletext"/>
            </w:pPr>
            <w:r>
              <w:t xml:space="preserve">The Site Visit element, description, dialogue </w:t>
            </w:r>
            <w:r>
              <w:rPr>
                <w:u w:val="single"/>
              </w:rPr>
              <w:t>Read:</w:t>
            </w:r>
            <w:r>
              <w:t xml:space="preserve"> Excerpt</w:t>
            </w:r>
            <w:r w:rsidRPr="006B78EC">
              <w:t xml:space="preserve"> from </w:t>
            </w:r>
            <w:r>
              <w:rPr>
                <w:i/>
              </w:rPr>
              <w:t>Javatrekker: The Death Train</w:t>
            </w:r>
            <w:r>
              <w:t xml:space="preserve"> (online)</w:t>
            </w:r>
          </w:p>
        </w:tc>
      </w:tr>
      <w:tr w:rsidR="00254C0C" w:rsidRPr="00310987" w:rsidTr="00E848BD">
        <w:trPr>
          <w:trHeight w:val="286"/>
        </w:trPr>
        <w:tc>
          <w:tcPr>
            <w:tcW w:w="810" w:type="dxa"/>
          </w:tcPr>
          <w:p w:rsidR="00254C0C" w:rsidRPr="00310987" w:rsidRDefault="00254C0C" w:rsidP="00E848BD">
            <w:pPr>
              <w:pStyle w:val="Tabletext"/>
            </w:pPr>
            <w:r w:rsidRPr="00310987">
              <w:t>6</w:t>
            </w:r>
          </w:p>
        </w:tc>
        <w:tc>
          <w:tcPr>
            <w:tcW w:w="990" w:type="dxa"/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Th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3/2</w:t>
            </w:r>
          </w:p>
        </w:tc>
        <w:tc>
          <w:tcPr>
            <w:tcW w:w="8640" w:type="dxa"/>
          </w:tcPr>
          <w:p w:rsidR="00254C0C" w:rsidRPr="00310987" w:rsidRDefault="00254C0C" w:rsidP="00E848BD">
            <w:pPr>
              <w:pStyle w:val="Tabletext"/>
            </w:pPr>
            <w:r>
              <w:t xml:space="preserve">Workshop for profiles: Structure, transitions </w:t>
            </w:r>
            <w:r>
              <w:rPr>
                <w:u w:val="single"/>
              </w:rPr>
              <w:t>Read</w:t>
            </w:r>
            <w:r>
              <w:t xml:space="preserve"> text 233-4, 349 and </w:t>
            </w:r>
            <w:r>
              <w:rPr>
                <w:sz w:val="22"/>
              </w:rPr>
              <w:t xml:space="preserve">“For Muslin Prom Queen, </w:t>
            </w:r>
            <w:r w:rsidRPr="00433EFA">
              <w:rPr>
                <w:sz w:val="22"/>
              </w:rPr>
              <w:t xml:space="preserve">There’s No </w:t>
            </w:r>
            <w:r>
              <w:rPr>
                <w:sz w:val="22"/>
              </w:rPr>
              <w:t xml:space="preserve"> </w:t>
            </w:r>
            <w:r w:rsidRPr="00433EFA">
              <w:rPr>
                <w:sz w:val="22"/>
              </w:rPr>
              <w:t>King” (online)</w:t>
            </w:r>
            <w:r w:rsidRPr="00742E9A">
              <w:rPr>
                <w:b/>
              </w:rPr>
              <w:t xml:space="preserve"> DUE</w:t>
            </w:r>
            <w:r>
              <w:t>: 10-15 interview questions (must be TYPED)</w:t>
            </w:r>
          </w:p>
        </w:tc>
      </w:tr>
      <w:tr w:rsidR="00254C0C" w:rsidRPr="00310987" w:rsidTr="00E848BD">
        <w:trPr>
          <w:trHeight w:val="321"/>
        </w:trPr>
        <w:tc>
          <w:tcPr>
            <w:tcW w:w="810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pPr>
              <w:pStyle w:val="Tabletext"/>
            </w:pPr>
            <w:r w:rsidRPr="00310987">
              <w:t>7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54C0C" w:rsidRPr="00C457A6" w:rsidRDefault="00254C0C" w:rsidP="00E848BD">
            <w:pPr>
              <w:pStyle w:val="Tabletext"/>
              <w:rPr>
                <w:sz w:val="20"/>
              </w:rPr>
            </w:pPr>
            <w:r>
              <w:rPr>
                <w:sz w:val="20"/>
              </w:rPr>
              <w:t>T</w:t>
            </w:r>
            <w:r w:rsidRPr="00C457A6">
              <w:rPr>
                <w:sz w:val="20"/>
              </w:rPr>
              <w:t xml:space="preserve"> </w:t>
            </w:r>
            <w:r>
              <w:rPr>
                <w:sz w:val="20"/>
              </w:rPr>
              <w:t>3/7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254C0C" w:rsidRPr="00310987" w:rsidRDefault="00254C0C" w:rsidP="00E848BD">
            <w:r>
              <w:t xml:space="preserve">Introductions &amp; Conclusions </w:t>
            </w:r>
            <w:r>
              <w:rPr>
                <w:u w:val="single"/>
              </w:rPr>
              <w:t>Read:</w:t>
            </w:r>
            <w:r>
              <w:t xml:space="preserve"> text 331-343 </w:t>
            </w:r>
            <w:r>
              <w:rPr>
                <w:b/>
              </w:rPr>
              <w:t>DUE:</w:t>
            </w:r>
            <w:r>
              <w:t xml:space="preserve"> brief outline + “hook” for profiles</w:t>
            </w:r>
          </w:p>
        </w:tc>
      </w:tr>
    </w:tbl>
    <w:p w:rsidR="00254C0C" w:rsidRDefault="00254C0C" w:rsidP="00254C0C">
      <w:bookmarkStart w:id="0" w:name="_GoBack"/>
      <w:bookmarkEnd w:id="0"/>
    </w:p>
    <w:p w:rsidR="009D5C7C" w:rsidRDefault="009D5C7C"/>
    <w:sectPr w:rsidR="009D5C7C" w:rsidSect="00371E3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95" w:rsidRDefault="004B6295">
      <w:r>
        <w:separator/>
      </w:r>
    </w:p>
  </w:endnote>
  <w:endnote w:type="continuationSeparator" w:id="0">
    <w:p w:rsidR="004B6295" w:rsidRDefault="004B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4F" w:rsidRDefault="00254C0C" w:rsidP="00E22102">
    <w:pPr>
      <w:pStyle w:val="Footer"/>
      <w:tabs>
        <w:tab w:val="clear" w:pos="8640"/>
        <w:tab w:val="right" w:pos="8190"/>
      </w:tabs>
      <w:ind w:right="360"/>
    </w:pPr>
    <w:r>
      <w:t xml:space="preserve">ENGL 1A Semester / Year  </w:t>
    </w:r>
    <w:r>
      <w:tab/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5C6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5C67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95" w:rsidRDefault="004B6295">
      <w:r>
        <w:separator/>
      </w:r>
    </w:p>
  </w:footnote>
  <w:footnote w:type="continuationSeparator" w:id="0">
    <w:p w:rsidR="004B6295" w:rsidRDefault="004B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0C"/>
    <w:rsid w:val="00254C0C"/>
    <w:rsid w:val="004B6295"/>
    <w:rsid w:val="00925C67"/>
    <w:rsid w:val="009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E502B-04E7-460B-A3C5-E19739D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C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254C0C"/>
    <w:pPr>
      <w:keepNext/>
      <w:spacing w:before="240" w:after="120"/>
      <w:outlineLvl w:val="1"/>
    </w:pPr>
    <w:rPr>
      <w:rFonts w:eastAsia="Times New Roman" w:cs="Arial"/>
      <w:b/>
      <w:bCs/>
      <w:i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4C0C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customStyle="1" w:styleId="Tabletext">
    <w:name w:val="Table text"/>
    <w:next w:val="Normal"/>
    <w:rsid w:val="00254C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4C0C"/>
    <w:pPr>
      <w:tabs>
        <w:tab w:val="right" w:pos="8640"/>
      </w:tabs>
      <w:spacing w:before="360"/>
    </w:pPr>
    <w:rPr>
      <w:rFonts w:ascii="Arial" w:eastAsia="Times New Roman" w:hAnsi="Arial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4C0C"/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rsid w:val="00254C0C"/>
    <w:rPr>
      <w:color w:val="0000FF"/>
      <w:u w:val="single"/>
    </w:rPr>
  </w:style>
  <w:style w:type="paragraph" w:customStyle="1" w:styleId="contactheading">
    <w:name w:val="contact heading"/>
    <w:basedOn w:val="Heading2"/>
    <w:rsid w:val="00254C0C"/>
    <w:pPr>
      <w:spacing w:before="120"/>
    </w:pPr>
  </w:style>
  <w:style w:type="character" w:styleId="PageNumber">
    <w:name w:val="page number"/>
    <w:basedOn w:val="DefaultParagraphFont"/>
    <w:rsid w:val="0025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su.edu/people/julie.sparks/courses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 lab user</dc:creator>
  <cp:keywords/>
  <dc:description/>
  <cp:lastModifiedBy>Julie Ann Sparks</cp:lastModifiedBy>
  <cp:revision>2</cp:revision>
  <dcterms:created xsi:type="dcterms:W3CDTF">2017-03-10T00:17:00Z</dcterms:created>
  <dcterms:modified xsi:type="dcterms:W3CDTF">2017-03-10T00:17:00Z</dcterms:modified>
</cp:coreProperties>
</file>