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84C" w:rsidRPr="00310987" w:rsidRDefault="003C284C" w:rsidP="003C284C">
      <w:pPr>
        <w:pStyle w:val="Heading1"/>
      </w:pPr>
      <w:r w:rsidRPr="00310987">
        <w:t>San José State University</w:t>
      </w:r>
      <w:r w:rsidRPr="00310987">
        <w:br/>
      </w:r>
      <w:r>
        <w:t>Humanities &amp; Arts / Dept. of English</w:t>
      </w:r>
      <w:r w:rsidRPr="00310987">
        <w:br/>
      </w:r>
      <w:r>
        <w:t xml:space="preserve">ENGL 1A: First-Year Writing, Section 57 </w:t>
      </w:r>
      <w:proofErr w:type="gramStart"/>
      <w:r>
        <w:t>Fall</w:t>
      </w:r>
      <w:proofErr w:type="gramEnd"/>
      <w:r>
        <w:t xml:space="preserve"> 2015</w:t>
      </w:r>
    </w:p>
    <w:p w:rsidR="003C284C" w:rsidRPr="00310987" w:rsidRDefault="003C284C" w:rsidP="003C284C">
      <w:pPr>
        <w:pStyle w:val="Heading2"/>
      </w:pPr>
      <w:r w:rsidRPr="00310987">
        <w:t>Course and Contact Information</w:t>
      </w:r>
    </w:p>
    <w:tbl>
      <w:tblPr>
        <w:tblW w:w="9648" w:type="dxa"/>
        <w:tblLayout w:type="fixed"/>
        <w:tblLook w:val="01E0" w:firstRow="1" w:lastRow="1" w:firstColumn="1" w:lastColumn="1" w:noHBand="0" w:noVBand="0"/>
      </w:tblPr>
      <w:tblGrid>
        <w:gridCol w:w="3168"/>
        <w:gridCol w:w="6480"/>
      </w:tblGrid>
      <w:tr w:rsidR="003C284C" w:rsidRPr="00310987" w:rsidTr="00B15D4F">
        <w:trPr>
          <w:trHeight w:val="144"/>
        </w:trPr>
        <w:tc>
          <w:tcPr>
            <w:tcW w:w="3168" w:type="dxa"/>
          </w:tcPr>
          <w:p w:rsidR="003C284C" w:rsidRPr="00310987" w:rsidRDefault="003C284C" w:rsidP="00B15D4F">
            <w:pPr>
              <w:pStyle w:val="contactheading"/>
            </w:pPr>
            <w:r w:rsidRPr="00310987">
              <w:t>Instructor:</w:t>
            </w:r>
          </w:p>
        </w:tc>
        <w:tc>
          <w:tcPr>
            <w:tcW w:w="6480" w:type="dxa"/>
            <w:vAlign w:val="center"/>
          </w:tcPr>
          <w:p w:rsidR="003C284C" w:rsidRPr="00310987" w:rsidRDefault="003C284C" w:rsidP="00B15D4F">
            <w:r>
              <w:t>Dr. Julie Sparks</w:t>
            </w:r>
          </w:p>
        </w:tc>
      </w:tr>
      <w:tr w:rsidR="003C284C" w:rsidRPr="00310987" w:rsidTr="00B15D4F">
        <w:trPr>
          <w:trHeight w:val="144"/>
        </w:trPr>
        <w:tc>
          <w:tcPr>
            <w:tcW w:w="3168" w:type="dxa"/>
          </w:tcPr>
          <w:p w:rsidR="003C284C" w:rsidRPr="00310987" w:rsidRDefault="003C284C" w:rsidP="00B15D4F">
            <w:pPr>
              <w:pStyle w:val="contactheading"/>
            </w:pPr>
            <w:r w:rsidRPr="00310987">
              <w:t>Office Location:</w:t>
            </w:r>
          </w:p>
        </w:tc>
        <w:tc>
          <w:tcPr>
            <w:tcW w:w="6480" w:type="dxa"/>
            <w:vAlign w:val="center"/>
          </w:tcPr>
          <w:p w:rsidR="003C284C" w:rsidRPr="00310987" w:rsidRDefault="003C284C" w:rsidP="00B15D4F">
            <w:r>
              <w:t>Faculty Office Building 128</w:t>
            </w:r>
          </w:p>
        </w:tc>
      </w:tr>
      <w:tr w:rsidR="003C284C" w:rsidRPr="00310987" w:rsidTr="00B15D4F">
        <w:trPr>
          <w:trHeight w:val="144"/>
        </w:trPr>
        <w:tc>
          <w:tcPr>
            <w:tcW w:w="3168" w:type="dxa"/>
          </w:tcPr>
          <w:p w:rsidR="003C284C" w:rsidRPr="00310987" w:rsidRDefault="003C284C" w:rsidP="00B15D4F">
            <w:pPr>
              <w:pStyle w:val="contactheading"/>
            </w:pPr>
            <w:r w:rsidRPr="00310987">
              <w:t>Telephone:</w:t>
            </w:r>
          </w:p>
        </w:tc>
        <w:tc>
          <w:tcPr>
            <w:tcW w:w="6480" w:type="dxa"/>
            <w:vAlign w:val="center"/>
          </w:tcPr>
          <w:p w:rsidR="003C284C" w:rsidRPr="00310987" w:rsidRDefault="003C284C" w:rsidP="00B15D4F">
            <w:r w:rsidRPr="00310987">
              <w:t>(</w:t>
            </w:r>
            <w:r>
              <w:t>408) 924-4434</w:t>
            </w:r>
          </w:p>
        </w:tc>
      </w:tr>
      <w:tr w:rsidR="003C284C" w:rsidRPr="00310987" w:rsidTr="00B15D4F">
        <w:trPr>
          <w:trHeight w:val="144"/>
        </w:trPr>
        <w:tc>
          <w:tcPr>
            <w:tcW w:w="3168" w:type="dxa"/>
          </w:tcPr>
          <w:p w:rsidR="003C284C" w:rsidRPr="00310987" w:rsidRDefault="003C284C" w:rsidP="00B15D4F">
            <w:pPr>
              <w:pStyle w:val="contactheading"/>
            </w:pPr>
            <w:r w:rsidRPr="00310987">
              <w:t>Email:</w:t>
            </w:r>
          </w:p>
        </w:tc>
        <w:tc>
          <w:tcPr>
            <w:tcW w:w="6480" w:type="dxa"/>
            <w:vAlign w:val="center"/>
          </w:tcPr>
          <w:p w:rsidR="003C284C" w:rsidRPr="00310987" w:rsidRDefault="003C284C" w:rsidP="00B15D4F">
            <w:r>
              <w:t>julie.sparks@sjsu.edu</w:t>
            </w:r>
          </w:p>
        </w:tc>
      </w:tr>
      <w:tr w:rsidR="003C284C" w:rsidRPr="00310987" w:rsidTr="00B15D4F">
        <w:trPr>
          <w:trHeight w:val="144"/>
        </w:trPr>
        <w:tc>
          <w:tcPr>
            <w:tcW w:w="3168" w:type="dxa"/>
          </w:tcPr>
          <w:p w:rsidR="003C284C" w:rsidRPr="00310987" w:rsidRDefault="003C284C" w:rsidP="00B15D4F">
            <w:pPr>
              <w:pStyle w:val="contactheading"/>
            </w:pPr>
            <w:r w:rsidRPr="00310987">
              <w:t>Office Hours:</w:t>
            </w:r>
          </w:p>
        </w:tc>
        <w:tc>
          <w:tcPr>
            <w:tcW w:w="6480" w:type="dxa"/>
            <w:vAlign w:val="center"/>
          </w:tcPr>
          <w:p w:rsidR="003C284C" w:rsidRPr="00310987" w:rsidRDefault="003C284C" w:rsidP="00B15D4F">
            <w:r>
              <w:t>T 10:30-11:30 and W 1-2 (tentative)</w:t>
            </w:r>
          </w:p>
        </w:tc>
      </w:tr>
      <w:tr w:rsidR="003C284C" w:rsidRPr="00310987" w:rsidTr="00B15D4F">
        <w:trPr>
          <w:trHeight w:val="144"/>
        </w:trPr>
        <w:tc>
          <w:tcPr>
            <w:tcW w:w="3168" w:type="dxa"/>
          </w:tcPr>
          <w:p w:rsidR="003C284C" w:rsidRPr="00310987" w:rsidRDefault="003C284C" w:rsidP="00B15D4F">
            <w:pPr>
              <w:pStyle w:val="contactheading"/>
            </w:pPr>
            <w:r w:rsidRPr="00310987">
              <w:t>Class Days/Time:</w:t>
            </w:r>
          </w:p>
        </w:tc>
        <w:tc>
          <w:tcPr>
            <w:tcW w:w="6480" w:type="dxa"/>
            <w:vAlign w:val="center"/>
          </w:tcPr>
          <w:p w:rsidR="003C284C" w:rsidRPr="00310987" w:rsidRDefault="003C284C" w:rsidP="00B15D4F">
            <w:r w:rsidRPr="004A5741">
              <w:rPr>
                <w:b/>
              </w:rPr>
              <w:t xml:space="preserve">Section </w:t>
            </w:r>
            <w:r>
              <w:rPr>
                <w:b/>
              </w:rPr>
              <w:t xml:space="preserve">57 </w:t>
            </w:r>
            <w:proofErr w:type="spellStart"/>
            <w:r w:rsidRPr="001C1531">
              <w:t>TTh</w:t>
            </w:r>
            <w:proofErr w:type="spellEnd"/>
            <w:r w:rsidRPr="001C1531">
              <w:t xml:space="preserve"> noon-1:45</w:t>
            </w:r>
          </w:p>
        </w:tc>
      </w:tr>
      <w:tr w:rsidR="003C284C" w:rsidRPr="00310987" w:rsidTr="00B15D4F">
        <w:trPr>
          <w:trHeight w:val="144"/>
        </w:trPr>
        <w:tc>
          <w:tcPr>
            <w:tcW w:w="3168" w:type="dxa"/>
          </w:tcPr>
          <w:p w:rsidR="003C284C" w:rsidRPr="00310987" w:rsidRDefault="003C284C" w:rsidP="00B15D4F">
            <w:pPr>
              <w:pStyle w:val="contactheading"/>
            </w:pPr>
            <w:r w:rsidRPr="00310987">
              <w:t>Classroom:</w:t>
            </w:r>
          </w:p>
        </w:tc>
        <w:tc>
          <w:tcPr>
            <w:tcW w:w="6480" w:type="dxa"/>
            <w:vAlign w:val="center"/>
          </w:tcPr>
          <w:p w:rsidR="003C284C" w:rsidRPr="00310987" w:rsidRDefault="003C284C" w:rsidP="00B15D4F">
            <w:r w:rsidRPr="00310987">
              <w:t>(Building and room number, or your online course web address)</w:t>
            </w:r>
          </w:p>
        </w:tc>
      </w:tr>
      <w:tr w:rsidR="003C284C" w:rsidRPr="00310987" w:rsidTr="00B15D4F">
        <w:trPr>
          <w:trHeight w:val="144"/>
        </w:trPr>
        <w:tc>
          <w:tcPr>
            <w:tcW w:w="3168" w:type="dxa"/>
          </w:tcPr>
          <w:p w:rsidR="003C284C" w:rsidRPr="00310987" w:rsidRDefault="003C284C" w:rsidP="00B15D4F">
            <w:pPr>
              <w:pStyle w:val="contactheading"/>
            </w:pPr>
            <w:r w:rsidRPr="00310987">
              <w:t>Prerequisites:</w:t>
            </w:r>
          </w:p>
        </w:tc>
        <w:tc>
          <w:tcPr>
            <w:tcW w:w="6480" w:type="dxa"/>
            <w:vAlign w:val="center"/>
          </w:tcPr>
          <w:p w:rsidR="003C284C" w:rsidRPr="00CB7ED3" w:rsidRDefault="003C284C" w:rsidP="00B15D4F">
            <w:pPr>
              <w:pStyle w:val="Heading2"/>
              <w:rPr>
                <w:b w:val="0"/>
              </w:rPr>
            </w:pPr>
            <w:r>
              <w:rPr>
                <w:b w:val="0"/>
              </w:rPr>
              <w:t>English Placement Test</w:t>
            </w:r>
          </w:p>
        </w:tc>
      </w:tr>
      <w:tr w:rsidR="003C284C" w:rsidRPr="00310987" w:rsidTr="00B15D4F">
        <w:trPr>
          <w:trHeight w:val="144"/>
        </w:trPr>
        <w:tc>
          <w:tcPr>
            <w:tcW w:w="3168" w:type="dxa"/>
          </w:tcPr>
          <w:p w:rsidR="003C284C" w:rsidRPr="00310987" w:rsidRDefault="003C284C" w:rsidP="00B15D4F">
            <w:pPr>
              <w:pStyle w:val="contactheading"/>
            </w:pPr>
            <w:r w:rsidRPr="00310987">
              <w:t xml:space="preserve">GE/SJSU Studies Category: </w:t>
            </w:r>
          </w:p>
        </w:tc>
        <w:tc>
          <w:tcPr>
            <w:tcW w:w="6480" w:type="dxa"/>
            <w:vAlign w:val="center"/>
          </w:tcPr>
          <w:p w:rsidR="003C284C" w:rsidRPr="00310987" w:rsidRDefault="003C284C" w:rsidP="00B15D4F">
            <w:r>
              <w:t xml:space="preserve">GE A2 Written Communication  </w:t>
            </w:r>
          </w:p>
        </w:tc>
      </w:tr>
    </w:tbl>
    <w:p w:rsidR="003C284C" w:rsidRPr="00310987" w:rsidRDefault="003C284C" w:rsidP="003C284C">
      <w:pPr>
        <w:pStyle w:val="Heading2"/>
      </w:pPr>
      <w:r w:rsidRPr="00310987">
        <w:t xml:space="preserve">Faculty Web Page and MYSJSU Messaging </w:t>
      </w:r>
    </w:p>
    <w:p w:rsidR="003C284C" w:rsidRDefault="003C284C" w:rsidP="003C284C">
      <w:r w:rsidRPr="00CB7ED3">
        <w:t xml:space="preserve">Course materials such as syllabus, handouts, notes, and assignment instructions </w:t>
      </w:r>
      <w:r>
        <w:t xml:space="preserve">will eventually </w:t>
      </w:r>
      <w:r w:rsidRPr="00CB7ED3">
        <w:t>be found on the Canvas learning m</w:t>
      </w:r>
      <w:r>
        <w:t xml:space="preserve">anagement system course website (please bear with me while I learn this system.) Meanwhile, course materials will also be found on my course Website at </w:t>
      </w:r>
      <w:hyperlink r:id="rId5" w:history="1">
        <w:r w:rsidRPr="00EA0332">
          <w:rPr>
            <w:rStyle w:val="Hyperlink"/>
          </w:rPr>
          <w:t>http://www.sjsu.edu/people/julie.sparks/courses/</w:t>
        </w:r>
      </w:hyperlink>
      <w:r>
        <w:t xml:space="preserve"> </w:t>
      </w:r>
      <w:r w:rsidRPr="00CB7ED3">
        <w:t xml:space="preserve"> </w:t>
      </w:r>
      <w:proofErr w:type="gramStart"/>
      <w:r w:rsidRPr="00F611AE">
        <w:rPr>
          <w:u w:val="single"/>
        </w:rPr>
        <w:t>You</w:t>
      </w:r>
      <w:proofErr w:type="gramEnd"/>
      <w:r w:rsidRPr="00F611AE">
        <w:rPr>
          <w:u w:val="single"/>
        </w:rPr>
        <w:t xml:space="preserve"> are responsible for </w:t>
      </w:r>
      <w:r>
        <w:rPr>
          <w:u w:val="single"/>
        </w:rPr>
        <w:t xml:space="preserve">regularly </w:t>
      </w:r>
      <w:r w:rsidRPr="00F611AE">
        <w:rPr>
          <w:u w:val="single"/>
        </w:rPr>
        <w:t xml:space="preserve">checking the messaging system through </w:t>
      </w:r>
      <w:proofErr w:type="spellStart"/>
      <w:r w:rsidRPr="00F611AE">
        <w:rPr>
          <w:u w:val="single"/>
        </w:rPr>
        <w:t>MySJSU</w:t>
      </w:r>
      <w:proofErr w:type="spellEnd"/>
      <w:r w:rsidRPr="00CB7ED3">
        <w:t xml:space="preserve"> </w:t>
      </w:r>
      <w:r>
        <w:t xml:space="preserve">(which is linked to your email) </w:t>
      </w:r>
      <w:r w:rsidRPr="00CB7ED3">
        <w:t>to learn of any updates.</w:t>
      </w:r>
    </w:p>
    <w:p w:rsidR="003C284C" w:rsidRPr="00CB7ED3" w:rsidRDefault="003C284C" w:rsidP="003C284C">
      <w:r w:rsidRPr="00CB7ED3">
        <w:t xml:space="preserve"> </w:t>
      </w:r>
    </w:p>
    <w:p w:rsidR="003C284C" w:rsidRPr="00CB7ED3" w:rsidRDefault="003C284C" w:rsidP="003C284C">
      <w:pPr>
        <w:rPr>
          <w:b/>
          <w:bCs/>
          <w:iCs/>
          <w:lang w:eastAsia="en-US"/>
        </w:rPr>
      </w:pPr>
      <w:r w:rsidRPr="00CB7ED3">
        <w:rPr>
          <w:b/>
          <w:bCs/>
          <w:iCs/>
          <w:lang w:eastAsia="en-US"/>
        </w:rPr>
        <w:t>ENGL 1</w:t>
      </w:r>
      <w:r>
        <w:rPr>
          <w:b/>
          <w:bCs/>
          <w:iCs/>
          <w:lang w:eastAsia="en-US"/>
        </w:rPr>
        <w:t>A</w:t>
      </w:r>
      <w:r w:rsidRPr="00CB7ED3">
        <w:rPr>
          <w:b/>
          <w:bCs/>
          <w:iCs/>
          <w:lang w:eastAsia="en-US"/>
        </w:rPr>
        <w:t xml:space="preserve"> Course Description </w:t>
      </w:r>
    </w:p>
    <w:p w:rsidR="003C284C" w:rsidRPr="00CB7ED3" w:rsidRDefault="003C284C" w:rsidP="003C284C">
      <w:pPr>
        <w:rPr>
          <w:i/>
          <w:lang w:eastAsia="en-US"/>
        </w:rPr>
      </w:pPr>
      <w:r w:rsidRPr="00CB7ED3">
        <w:rPr>
          <w:i/>
          <w:lang w:eastAsia="en-US"/>
        </w:rPr>
        <w:t>General Course Description</w:t>
      </w:r>
    </w:p>
    <w:p w:rsidR="003C284C" w:rsidRDefault="003C284C" w:rsidP="003C284C">
      <w:pPr>
        <w:rPr>
          <w:lang w:eastAsia="en-US"/>
        </w:rPr>
      </w:pPr>
      <w:r w:rsidRPr="00B95B73">
        <w:rPr>
          <w:lang w:eastAsia="en-US"/>
        </w:rPr>
        <w:t>English 1 is an introductory writing course that will help you understand the writing process and the goals, dynamics, and genres of written communication. Through interpretation and analysis of texts, you will develop clear thinking and effective writing that give form and coherence to complex ideas. In English 1 you will practice these skills by writing for various audiences and rhetorical situations.</w:t>
      </w:r>
    </w:p>
    <w:p w:rsidR="003C284C" w:rsidRPr="00CB7ED3" w:rsidRDefault="003C284C" w:rsidP="003C284C">
      <w:pPr>
        <w:rPr>
          <w:lang w:eastAsia="en-US"/>
        </w:rPr>
      </w:pPr>
    </w:p>
    <w:p w:rsidR="003C284C" w:rsidRPr="00902D71" w:rsidRDefault="003C284C" w:rsidP="003C284C">
      <w:pPr>
        <w:rPr>
          <w:lang w:eastAsia="en-US"/>
        </w:rPr>
      </w:pPr>
      <w:r w:rsidRPr="00902D71">
        <w:rPr>
          <w:b/>
          <w:lang w:eastAsia="en-US"/>
        </w:rPr>
        <w:t>Pathways to a Better Future</w:t>
      </w:r>
      <w:r>
        <w:rPr>
          <w:b/>
          <w:lang w:eastAsia="en-US"/>
        </w:rPr>
        <w:t>: Global Citizenship, Sustainability, Creativity</w:t>
      </w:r>
    </w:p>
    <w:p w:rsidR="003C284C" w:rsidRPr="00902D71" w:rsidRDefault="003C284C" w:rsidP="003C284C">
      <w:pPr>
        <w:rPr>
          <w:szCs w:val="22"/>
        </w:rPr>
      </w:pPr>
      <w:r w:rsidRPr="00902D71">
        <w:rPr>
          <w:szCs w:val="22"/>
        </w:rPr>
        <w:t>What does it mean for today’s college students to be coming of age at the beginning of the 21</w:t>
      </w:r>
      <w:r w:rsidRPr="00902D71">
        <w:rPr>
          <w:szCs w:val="22"/>
          <w:vertAlign w:val="superscript"/>
        </w:rPr>
        <w:t>st</w:t>
      </w:r>
      <w:r w:rsidRPr="00902D71">
        <w:rPr>
          <w:szCs w:val="22"/>
        </w:rPr>
        <w:t xml:space="preserve"> c</w:t>
      </w:r>
      <w:r>
        <w:rPr>
          <w:szCs w:val="22"/>
        </w:rPr>
        <w:t xml:space="preserve">entury? Although the Millennials have </w:t>
      </w:r>
      <w:r w:rsidRPr="00902D71">
        <w:rPr>
          <w:szCs w:val="22"/>
        </w:rPr>
        <w:t xml:space="preserve">grown up in an increasingly interconnected world, with a burgeoning global economy accelerated by an explosive spread of ever-evolving technology, </w:t>
      </w:r>
      <w:r>
        <w:rPr>
          <w:szCs w:val="22"/>
        </w:rPr>
        <w:t>you might</w:t>
      </w:r>
      <w:r w:rsidRPr="00902D71">
        <w:rPr>
          <w:szCs w:val="22"/>
        </w:rPr>
        <w:t xml:space="preserve"> have also grown up with an increasing sense of dread about the interconnected global threats of environmental deterioration, climate change, deadly pandemics, the struggle for diminishing resources, </w:t>
      </w:r>
      <w:r>
        <w:rPr>
          <w:szCs w:val="22"/>
        </w:rPr>
        <w:t xml:space="preserve">and </w:t>
      </w:r>
      <w:r w:rsidRPr="00902D71">
        <w:rPr>
          <w:szCs w:val="22"/>
        </w:rPr>
        <w:t xml:space="preserve">domestic and international terrorism. Fortunately for us in Silicon </w:t>
      </w:r>
      <w:r w:rsidRPr="00902D71">
        <w:rPr>
          <w:szCs w:val="22"/>
        </w:rPr>
        <w:lastRenderedPageBreak/>
        <w:t xml:space="preserve">Valley, we have front-row seats to some of the most promising solutions to these challenges that are incubating in the fertile minds of our diverse and well-educated population, producing exhilarating flows of new ideas and new energy. </w:t>
      </w:r>
    </w:p>
    <w:p w:rsidR="003C284C" w:rsidRPr="00902D71" w:rsidRDefault="003C284C" w:rsidP="003C284C">
      <w:pPr>
        <w:rPr>
          <w:szCs w:val="22"/>
        </w:rPr>
      </w:pPr>
    </w:p>
    <w:p w:rsidR="003C284C" w:rsidRPr="00902D71" w:rsidRDefault="003C284C" w:rsidP="003C284C">
      <w:pPr>
        <w:rPr>
          <w:szCs w:val="22"/>
        </w:rPr>
      </w:pPr>
      <w:r w:rsidRPr="00902D71">
        <w:rPr>
          <w:szCs w:val="22"/>
        </w:rPr>
        <w:t>This class has been formed to develop a greater understanding of the complex global forces that have ushered in this new age. It will also develop students’ awareness of the many creative ideas that have grown out of some of our most desperate crises—new sustainable technologies to replace the more destructive engines of the first industrial revolution, new kinds of businesses that substitute sustainable community-building for the short-sighted obsession with profits, new inclusive banking strategies to help the “bottom billion” lift themselves out of poverty and add their talents to the global economy, and new ideas about agriculture, forestry, urban design, transportation, telecommunications, and education that all help us envision a more, just, peaceful, prosperous</w:t>
      </w:r>
      <w:r>
        <w:rPr>
          <w:szCs w:val="22"/>
        </w:rPr>
        <w:t>,</w:t>
      </w:r>
      <w:r w:rsidRPr="00902D71">
        <w:rPr>
          <w:szCs w:val="22"/>
        </w:rPr>
        <w:t xml:space="preserve"> and sustainable world.</w:t>
      </w:r>
    </w:p>
    <w:p w:rsidR="003C284C" w:rsidRPr="00902D71" w:rsidRDefault="003C284C" w:rsidP="003C284C">
      <w:pPr>
        <w:rPr>
          <w:szCs w:val="22"/>
        </w:rPr>
      </w:pPr>
    </w:p>
    <w:p w:rsidR="003C284C" w:rsidRPr="00902D71" w:rsidRDefault="003C284C" w:rsidP="003C284C">
      <w:pPr>
        <w:rPr>
          <w:szCs w:val="22"/>
        </w:rPr>
      </w:pPr>
      <w:r w:rsidRPr="00902D71">
        <w:rPr>
          <w:szCs w:val="22"/>
        </w:rPr>
        <w:t xml:space="preserve">Our focus will be on global innovations in all fields, including the sciences, technology, business, education, and the arts. Students will be encouraged to look beyond the pigeonholes of traditional academic disciplines to see how people in the “real world” have been collaborating in innovative ways, producing unanticipated solutions to unprecedented challenges. Students will also be encouraged to see a role for themselves in this vanguard. </w:t>
      </w:r>
    </w:p>
    <w:p w:rsidR="003C284C" w:rsidRDefault="003C284C" w:rsidP="003C284C">
      <w:pPr>
        <w:pStyle w:val="Heading2"/>
      </w:pPr>
      <w:r w:rsidRPr="00CB7ED3">
        <w:t>ENGL 1</w:t>
      </w:r>
      <w:r>
        <w:t>A</w:t>
      </w:r>
      <w:r w:rsidRPr="00CB7ED3">
        <w:t xml:space="preserve"> Learning Objectives (CLO)</w:t>
      </w:r>
    </w:p>
    <w:p w:rsidR="003C284C" w:rsidRPr="00B95B73" w:rsidRDefault="003C284C" w:rsidP="003C284C">
      <w:pPr>
        <w:rPr>
          <w:lang w:eastAsia="en-US"/>
        </w:rPr>
      </w:pPr>
      <w:r>
        <w:rPr>
          <w:lang w:eastAsia="en-US"/>
        </w:rPr>
        <w:t xml:space="preserve">Upon successful completion of the course, you will be able to: </w:t>
      </w:r>
    </w:p>
    <w:p w:rsidR="003C284C" w:rsidRPr="00B95B73" w:rsidRDefault="003C284C" w:rsidP="003C284C">
      <w:pPr>
        <w:numPr>
          <w:ilvl w:val="0"/>
          <w:numId w:val="4"/>
        </w:numPr>
        <w:rPr>
          <w:lang w:eastAsia="en-US"/>
        </w:rPr>
      </w:pPr>
      <w:proofErr w:type="gramStart"/>
      <w:r w:rsidRPr="00B95B73">
        <w:rPr>
          <w:lang w:eastAsia="en-US"/>
        </w:rPr>
        <w:t>communicate</w:t>
      </w:r>
      <w:proofErr w:type="gramEnd"/>
      <w:r w:rsidRPr="00B95B73">
        <w:rPr>
          <w:lang w:eastAsia="en-US"/>
        </w:rPr>
        <w:t xml:space="preserve"> meaning clearly and effectively.</w:t>
      </w:r>
    </w:p>
    <w:p w:rsidR="003C284C" w:rsidRPr="00B95B73" w:rsidRDefault="003C284C" w:rsidP="003C284C">
      <w:pPr>
        <w:numPr>
          <w:ilvl w:val="0"/>
          <w:numId w:val="4"/>
        </w:numPr>
        <w:rPr>
          <w:lang w:eastAsia="en-US"/>
        </w:rPr>
      </w:pPr>
      <w:proofErr w:type="gramStart"/>
      <w:r w:rsidRPr="00B95B73">
        <w:rPr>
          <w:lang w:eastAsia="en-US"/>
        </w:rPr>
        <w:t>identify</w:t>
      </w:r>
      <w:proofErr w:type="gramEnd"/>
      <w:r w:rsidRPr="00B95B73">
        <w:rPr>
          <w:lang w:eastAsia="en-US"/>
        </w:rPr>
        <w:t xml:space="preserve"> focus, tailored to a particular audience and purpose.</w:t>
      </w:r>
    </w:p>
    <w:p w:rsidR="003C284C" w:rsidRPr="00B95B73" w:rsidRDefault="003C284C" w:rsidP="003C284C">
      <w:pPr>
        <w:numPr>
          <w:ilvl w:val="0"/>
          <w:numId w:val="4"/>
        </w:numPr>
        <w:rPr>
          <w:lang w:eastAsia="en-US"/>
        </w:rPr>
      </w:pPr>
      <w:proofErr w:type="gramStart"/>
      <w:r w:rsidRPr="00B95B73">
        <w:rPr>
          <w:lang w:eastAsia="en-US"/>
        </w:rPr>
        <w:t>perform</w:t>
      </w:r>
      <w:proofErr w:type="gramEnd"/>
      <w:r w:rsidRPr="00B95B73">
        <w:rPr>
          <w:lang w:eastAsia="en-US"/>
        </w:rPr>
        <w:t xml:space="preserve"> effectively the essential steps of the writing process (prewriting, organizing, composing, revising, and editing).</w:t>
      </w:r>
    </w:p>
    <w:p w:rsidR="003C284C" w:rsidRPr="00B95B73" w:rsidRDefault="003C284C" w:rsidP="003C284C">
      <w:pPr>
        <w:numPr>
          <w:ilvl w:val="0"/>
          <w:numId w:val="4"/>
        </w:numPr>
        <w:rPr>
          <w:lang w:eastAsia="en-US"/>
        </w:rPr>
      </w:pPr>
      <w:proofErr w:type="gramStart"/>
      <w:r w:rsidRPr="00B95B73">
        <w:rPr>
          <w:lang w:eastAsia="en-US"/>
        </w:rPr>
        <w:t>explain</w:t>
      </w:r>
      <w:proofErr w:type="gramEnd"/>
      <w:r w:rsidRPr="00B95B73">
        <w:rPr>
          <w:lang w:eastAsia="en-US"/>
        </w:rPr>
        <w:t>, analyze, develop, and criticize ideas effectively.</w:t>
      </w:r>
    </w:p>
    <w:p w:rsidR="003C284C" w:rsidRPr="00B95B73" w:rsidRDefault="003C284C" w:rsidP="003C284C">
      <w:pPr>
        <w:numPr>
          <w:ilvl w:val="0"/>
          <w:numId w:val="4"/>
        </w:numPr>
        <w:rPr>
          <w:lang w:eastAsia="en-US"/>
        </w:rPr>
      </w:pPr>
      <w:proofErr w:type="gramStart"/>
      <w:r w:rsidRPr="00B95B73">
        <w:rPr>
          <w:lang w:eastAsia="en-US"/>
        </w:rPr>
        <w:t>use</w:t>
      </w:r>
      <w:proofErr w:type="gramEnd"/>
      <w:r w:rsidRPr="00B95B73">
        <w:rPr>
          <w:lang w:eastAsia="en-US"/>
        </w:rPr>
        <w:t xml:space="preserve"> within your own essay supporting material drawn from primary and secondary sources, including appropriate citations.</w:t>
      </w:r>
    </w:p>
    <w:p w:rsidR="003C284C" w:rsidRPr="00B95B73" w:rsidRDefault="003C284C" w:rsidP="003C284C">
      <w:pPr>
        <w:numPr>
          <w:ilvl w:val="0"/>
          <w:numId w:val="4"/>
        </w:numPr>
        <w:rPr>
          <w:lang w:eastAsia="en-US"/>
        </w:rPr>
      </w:pPr>
      <w:proofErr w:type="gramStart"/>
      <w:r w:rsidRPr="00B95B73">
        <w:rPr>
          <w:lang w:eastAsia="en-US"/>
        </w:rPr>
        <w:t>organize</w:t>
      </w:r>
      <w:proofErr w:type="gramEnd"/>
      <w:r w:rsidRPr="00B95B73">
        <w:rPr>
          <w:lang w:eastAsia="en-US"/>
        </w:rPr>
        <w:t xml:space="preserve"> individual paragraphs and entire essays.</w:t>
      </w:r>
    </w:p>
    <w:p w:rsidR="003C284C" w:rsidRPr="00B95B73" w:rsidRDefault="003C284C" w:rsidP="003C284C">
      <w:pPr>
        <w:numPr>
          <w:ilvl w:val="0"/>
          <w:numId w:val="4"/>
        </w:numPr>
        <w:rPr>
          <w:lang w:eastAsia="en-US"/>
        </w:rPr>
      </w:pPr>
      <w:proofErr w:type="gramStart"/>
      <w:r w:rsidRPr="00B95B73">
        <w:rPr>
          <w:lang w:eastAsia="en-US"/>
        </w:rPr>
        <w:t>construct</w:t>
      </w:r>
      <w:proofErr w:type="gramEnd"/>
      <w:r w:rsidRPr="00B95B73">
        <w:rPr>
          <w:lang w:eastAsia="en-US"/>
        </w:rPr>
        <w:t xml:space="preserve"> sentences with accuracy, variety, and clarity.</w:t>
      </w:r>
    </w:p>
    <w:p w:rsidR="003C284C" w:rsidRPr="00B95B73" w:rsidRDefault="003C284C" w:rsidP="003C284C">
      <w:pPr>
        <w:numPr>
          <w:ilvl w:val="0"/>
          <w:numId w:val="4"/>
        </w:numPr>
        <w:rPr>
          <w:lang w:eastAsia="en-US"/>
        </w:rPr>
      </w:pPr>
      <w:proofErr w:type="gramStart"/>
      <w:r w:rsidRPr="00B95B73">
        <w:rPr>
          <w:lang w:eastAsia="en-US"/>
        </w:rPr>
        <w:t>use</w:t>
      </w:r>
      <w:proofErr w:type="gramEnd"/>
      <w:r w:rsidRPr="00B95B73">
        <w:rPr>
          <w:lang w:eastAsia="en-US"/>
        </w:rPr>
        <w:t xml:space="preserve"> appropriate diction and tone.</w:t>
      </w:r>
    </w:p>
    <w:p w:rsidR="003C284C" w:rsidRPr="00B95B73" w:rsidRDefault="003C284C" w:rsidP="003C284C">
      <w:pPr>
        <w:numPr>
          <w:ilvl w:val="0"/>
          <w:numId w:val="4"/>
        </w:numPr>
        <w:rPr>
          <w:lang w:eastAsia="en-US"/>
        </w:rPr>
      </w:pPr>
      <w:proofErr w:type="gramStart"/>
      <w:r w:rsidRPr="00B95B73">
        <w:rPr>
          <w:lang w:eastAsia="en-US"/>
        </w:rPr>
        <w:t>control</w:t>
      </w:r>
      <w:proofErr w:type="gramEnd"/>
      <w:r w:rsidRPr="00B95B73">
        <w:rPr>
          <w:lang w:eastAsia="en-US"/>
        </w:rPr>
        <w:t xml:space="preserve"> conventions of written English (e.g., punctuation, spelling, reference, agreement).</w:t>
      </w:r>
    </w:p>
    <w:p w:rsidR="003C284C" w:rsidRDefault="003C284C" w:rsidP="003C284C">
      <w:pPr>
        <w:rPr>
          <w:lang w:eastAsia="en-US"/>
        </w:rPr>
      </w:pPr>
    </w:p>
    <w:p w:rsidR="003C284C" w:rsidRPr="00B95B73" w:rsidRDefault="003C284C" w:rsidP="003C284C">
      <w:pPr>
        <w:pStyle w:val="Heading2"/>
      </w:pPr>
      <w:r w:rsidRPr="00B95B73">
        <w:t xml:space="preserve">GE A2 Course Description </w:t>
      </w:r>
    </w:p>
    <w:p w:rsidR="003C284C" w:rsidRPr="00B95B73" w:rsidRDefault="003C284C" w:rsidP="003C284C">
      <w:r>
        <w:t xml:space="preserve">ENGL 1A fulfills your written communication general education requirement. Courses in GE Area 2 </w:t>
      </w:r>
      <w:r w:rsidRPr="00B95B73">
        <w:t>cultivate an understanding of the writing process and the goals, dynamics, and genres of written communication, with special attention to the nature of writing at the university. Students will develop college-level reading abilities, rhetorical sophistication, and writing styles that give form and coherence to complex ideas and feelings. A passing grade of C or better signifies that the student is a capable college-level writer and reader of English.</w:t>
      </w:r>
    </w:p>
    <w:p w:rsidR="003C284C" w:rsidRPr="00CB7ED3" w:rsidRDefault="003C284C" w:rsidP="003C284C">
      <w:pPr>
        <w:pStyle w:val="Heading2"/>
      </w:pPr>
      <w:r w:rsidRPr="00CB7ED3">
        <w:lastRenderedPageBreak/>
        <w:t xml:space="preserve">GE </w:t>
      </w:r>
      <w:r>
        <w:t>A</w:t>
      </w:r>
      <w:r w:rsidRPr="00CB7ED3">
        <w:t>2 Learning Objectives (GELO)</w:t>
      </w:r>
    </w:p>
    <w:p w:rsidR="003C284C" w:rsidRPr="00CB7ED3" w:rsidRDefault="003C284C" w:rsidP="003C284C">
      <w:pPr>
        <w:rPr>
          <w:lang w:eastAsia="en-US"/>
        </w:rPr>
      </w:pPr>
      <w:r>
        <w:rPr>
          <w:lang w:eastAsia="en-US"/>
        </w:rPr>
        <w:t xml:space="preserve">In addition to the learning objectives stated above, ENGL 1A also measures the learning goals of GE Area A2. </w:t>
      </w:r>
      <w:r w:rsidRPr="00CB7ED3">
        <w:rPr>
          <w:lang w:eastAsia="en-US"/>
        </w:rPr>
        <w:t xml:space="preserve">Upon successful completion of the course, </w:t>
      </w:r>
      <w:r>
        <w:rPr>
          <w:lang w:eastAsia="en-US"/>
        </w:rPr>
        <w:t>you</w:t>
      </w:r>
      <w:r w:rsidRPr="00CB7ED3">
        <w:rPr>
          <w:lang w:eastAsia="en-US"/>
        </w:rPr>
        <w:t xml:space="preserve"> will be able to </w:t>
      </w:r>
    </w:p>
    <w:p w:rsidR="003C284C" w:rsidRDefault="003C284C" w:rsidP="003C284C">
      <w:pPr>
        <w:pStyle w:val="BodyText"/>
        <w:numPr>
          <w:ilvl w:val="0"/>
          <w:numId w:val="5"/>
        </w:numPr>
        <w:spacing w:after="0"/>
      </w:pPr>
      <w:proofErr w:type="gramStart"/>
      <w:r>
        <w:t>demonstrate</w:t>
      </w:r>
      <w:proofErr w:type="gramEnd"/>
      <w:r>
        <w:t xml:space="preserve"> the ability to read actively and rhetorically. </w:t>
      </w:r>
      <w:r w:rsidRPr="00AA24D3">
        <w:t xml:space="preserve"> </w:t>
      </w:r>
    </w:p>
    <w:p w:rsidR="003C284C" w:rsidRDefault="003C284C" w:rsidP="003C284C">
      <w:pPr>
        <w:pStyle w:val="BodyText"/>
        <w:numPr>
          <w:ilvl w:val="0"/>
          <w:numId w:val="5"/>
        </w:numPr>
        <w:spacing w:after="0"/>
      </w:pPr>
      <w:proofErr w:type="gramStart"/>
      <w:r>
        <w:t>demonstrate</w:t>
      </w:r>
      <w:proofErr w:type="gramEnd"/>
      <w:r>
        <w:t xml:space="preserve"> the ability to perform the essential steps in the writing process (prewriting, organizing, composing, revising, and editing) and demonstrate an awareness of said performance. </w:t>
      </w:r>
    </w:p>
    <w:p w:rsidR="003C284C" w:rsidRDefault="003C284C" w:rsidP="003C284C">
      <w:pPr>
        <w:pStyle w:val="BodyText"/>
        <w:numPr>
          <w:ilvl w:val="0"/>
          <w:numId w:val="5"/>
        </w:numPr>
        <w:spacing w:after="0"/>
      </w:pPr>
      <w:proofErr w:type="gramStart"/>
      <w:r>
        <w:t>articulate</w:t>
      </w:r>
      <w:proofErr w:type="gramEnd"/>
      <w:r>
        <w:t xml:space="preserve"> an awareness of and write according to the rhetorical features of texts, such as purpose, audience, context, and rhetorical appeals.</w:t>
      </w:r>
    </w:p>
    <w:p w:rsidR="003C284C" w:rsidRDefault="003C284C" w:rsidP="003C284C">
      <w:pPr>
        <w:pStyle w:val="BodyText"/>
        <w:numPr>
          <w:ilvl w:val="0"/>
          <w:numId w:val="5"/>
        </w:numPr>
        <w:spacing w:after="0"/>
      </w:pPr>
      <w:proofErr w:type="gramStart"/>
      <w:r>
        <w:t>demonstrate</w:t>
      </w:r>
      <w:proofErr w:type="gramEnd"/>
      <w:r>
        <w:t xml:space="preserve"> the ability to integrate their ideas and those of others by explaining, analyzing, developing, and criticizing ideas effectively in several genres.</w:t>
      </w:r>
    </w:p>
    <w:p w:rsidR="003C284C" w:rsidRDefault="003C284C" w:rsidP="003C284C">
      <w:pPr>
        <w:pStyle w:val="BodyText"/>
        <w:numPr>
          <w:ilvl w:val="0"/>
          <w:numId w:val="5"/>
        </w:numPr>
        <w:spacing w:after="0"/>
      </w:pPr>
      <w:proofErr w:type="gramStart"/>
      <w:r>
        <w:t>demonstrate</w:t>
      </w:r>
      <w:proofErr w:type="gramEnd"/>
      <w:r>
        <w:t xml:space="preserve"> college-level language use, clarity, and grammatical proficiency in writing.</w:t>
      </w:r>
    </w:p>
    <w:p w:rsidR="003C284C" w:rsidRPr="00310987" w:rsidRDefault="003C284C" w:rsidP="003C284C">
      <w:pPr>
        <w:shd w:val="clear" w:color="auto" w:fill="FFFFFF"/>
        <w:rPr>
          <w:rFonts w:ascii="Arial" w:eastAsia="Times New Roman" w:hAnsi="Arial" w:cs="Arial"/>
          <w:color w:val="222222"/>
          <w:lang w:eastAsia="en-US"/>
        </w:rPr>
      </w:pPr>
    </w:p>
    <w:p w:rsidR="003C284C" w:rsidRDefault="003C284C" w:rsidP="003C284C">
      <w:pPr>
        <w:pStyle w:val="Heading2"/>
      </w:pPr>
      <w:r>
        <w:t>ENGL 1A Course Content</w:t>
      </w:r>
    </w:p>
    <w:p w:rsidR="003C284C" w:rsidRPr="00D742B5" w:rsidRDefault="003C284C" w:rsidP="003C284C">
      <w:pPr>
        <w:rPr>
          <w:bCs/>
          <w:iCs/>
          <w:u w:val="single"/>
          <w:lang w:eastAsia="en-US"/>
        </w:rPr>
      </w:pPr>
      <w:r w:rsidRPr="00D742B5">
        <w:rPr>
          <w:u w:val="single"/>
          <w:lang w:eastAsia="en-US"/>
        </w:rPr>
        <w:t>Diversity</w:t>
      </w:r>
      <w:r w:rsidRPr="00D742B5">
        <w:rPr>
          <w:lang w:eastAsia="en-US"/>
        </w:rPr>
        <w:t xml:space="preserve">: SJSU studies include an emphasis on diversity. </w:t>
      </w:r>
      <w:r>
        <w:rPr>
          <w:bCs/>
          <w:iCs/>
          <w:lang w:eastAsia="en-US"/>
        </w:rPr>
        <w:t>You</w:t>
      </w:r>
      <w:r w:rsidRPr="00D742B5">
        <w:rPr>
          <w:bCs/>
          <w:iCs/>
          <w:lang w:eastAsia="en-US"/>
        </w:rPr>
        <w:t xml:space="preserve"> will engage in integrated reading and writing assignments to construct </w:t>
      </w:r>
      <w:r>
        <w:rPr>
          <w:bCs/>
          <w:iCs/>
          <w:lang w:eastAsia="en-US"/>
        </w:rPr>
        <w:t>your</w:t>
      </w:r>
      <w:r w:rsidRPr="00D742B5">
        <w:rPr>
          <w:bCs/>
          <w:iCs/>
          <w:lang w:eastAsia="en-US"/>
        </w:rPr>
        <w:t xml:space="preserve"> own arguments on complex issues that generate meaningful public debate. </w:t>
      </w:r>
      <w:r w:rsidRPr="00D742B5">
        <w:rPr>
          <w:lang w:eastAsia="en-US"/>
        </w:rPr>
        <w:t xml:space="preserve">Readings for the course will include </w:t>
      </w:r>
      <w:r w:rsidRPr="00D742B5">
        <w:rPr>
          <w:bCs/>
          <w:iCs/>
          <w:lang w:eastAsia="en-US"/>
        </w:rPr>
        <w:t>writers of different genders and from different socio-economic classes.</w:t>
      </w:r>
    </w:p>
    <w:p w:rsidR="003C284C" w:rsidRDefault="003C284C" w:rsidP="003C284C">
      <w:pPr>
        <w:rPr>
          <w:lang w:eastAsia="en-US"/>
        </w:rPr>
      </w:pPr>
    </w:p>
    <w:p w:rsidR="003C284C" w:rsidRDefault="003C284C" w:rsidP="003C284C">
      <w:pPr>
        <w:rPr>
          <w:lang w:eastAsia="en-US"/>
        </w:rPr>
      </w:pPr>
      <w:r w:rsidRPr="00D742B5">
        <w:rPr>
          <w:u w:val="single"/>
          <w:lang w:eastAsia="en-US"/>
        </w:rPr>
        <w:t>Writing</w:t>
      </w:r>
      <w:r w:rsidRPr="00C9182A">
        <w:rPr>
          <w:u w:val="single"/>
          <w:lang w:eastAsia="en-US"/>
        </w:rPr>
        <w:t>:</w:t>
      </w:r>
      <w:r w:rsidRPr="00D742B5">
        <w:rPr>
          <w:lang w:eastAsia="en-US"/>
        </w:rPr>
        <w:t xml:space="preserve"> </w:t>
      </w:r>
      <w:r>
        <w:rPr>
          <w:lang w:eastAsia="en-US"/>
        </w:rPr>
        <w:t>Writing assignments shall give students repeated practice in all phases of the writing process: prewriting, organizing, writing, revising, and editing. This class requires a minimum of 8000 words, at least 4000 of which must be in revised final draft form. Because in-class writing is valued and students should be able to perform well in timed writing situations, at least two essays shall be written in class. In addition, ENGL 1A classes require multiple out-of-class essays.</w:t>
      </w:r>
    </w:p>
    <w:p w:rsidR="003C284C" w:rsidRDefault="003C284C" w:rsidP="003C284C">
      <w:pPr>
        <w:rPr>
          <w:lang w:eastAsia="en-US"/>
        </w:rPr>
      </w:pPr>
    </w:p>
    <w:p w:rsidR="003C284C" w:rsidRPr="00D742B5" w:rsidRDefault="003C284C" w:rsidP="003C284C">
      <w:pPr>
        <w:rPr>
          <w:u w:val="single"/>
          <w:lang w:eastAsia="en-US"/>
        </w:rPr>
      </w:pPr>
      <w:r>
        <w:rPr>
          <w:lang w:eastAsia="en-US"/>
        </w:rPr>
        <w:t>You</w:t>
      </w:r>
      <w:r w:rsidRPr="00D742B5">
        <w:rPr>
          <w:lang w:eastAsia="en-US"/>
        </w:rPr>
        <w:t xml:space="preserve"> will receive frequent evaluations of </w:t>
      </w:r>
      <w:r>
        <w:rPr>
          <w:lang w:eastAsia="en-US"/>
        </w:rPr>
        <w:t>your</w:t>
      </w:r>
      <w:r w:rsidRPr="00D742B5">
        <w:rPr>
          <w:lang w:eastAsia="en-US"/>
        </w:rPr>
        <w:t xml:space="preserve"> writing from the instructor. Evaluative comments will be substantive, addressing both the logic of the argument and the quality and form of the writing. Comments will encourage and acknowledge </w:t>
      </w:r>
      <w:r>
        <w:rPr>
          <w:lang w:eastAsia="en-US"/>
        </w:rPr>
        <w:t>your</w:t>
      </w:r>
      <w:r w:rsidRPr="00D742B5">
        <w:rPr>
          <w:lang w:eastAsia="en-US"/>
        </w:rPr>
        <w:t xml:space="preserve"> success as well as note problems and suggest ways to improve</w:t>
      </w:r>
      <w:r w:rsidRPr="002B2313">
        <w:rPr>
          <w:lang w:eastAsia="en-US"/>
        </w:rPr>
        <w:t>.</w:t>
      </w:r>
      <w:r w:rsidRPr="00D742B5">
        <w:rPr>
          <w:u w:val="single"/>
          <w:lang w:eastAsia="en-US"/>
        </w:rPr>
        <w:t xml:space="preserve"> </w:t>
      </w:r>
    </w:p>
    <w:p w:rsidR="003C284C" w:rsidRPr="00D742B5" w:rsidRDefault="003C284C" w:rsidP="003C284C">
      <w:pPr>
        <w:rPr>
          <w:u w:val="single"/>
          <w:lang w:eastAsia="en-US"/>
        </w:rPr>
      </w:pPr>
    </w:p>
    <w:p w:rsidR="003C284C" w:rsidRPr="00D742B5" w:rsidRDefault="003C284C" w:rsidP="003C284C">
      <w:pPr>
        <w:rPr>
          <w:u w:val="single"/>
          <w:lang w:eastAsia="en-US"/>
        </w:rPr>
      </w:pPr>
      <w:r w:rsidRPr="00D742B5">
        <w:rPr>
          <w:u w:val="single"/>
          <w:lang w:eastAsia="en-US"/>
        </w:rPr>
        <w:t>Reading</w:t>
      </w:r>
      <w:r w:rsidRPr="00D742B5">
        <w:rPr>
          <w:lang w:eastAsia="en-US"/>
        </w:rPr>
        <w:t xml:space="preserve">: </w:t>
      </w:r>
      <w:r>
        <w:rPr>
          <w:lang w:eastAsia="en-US"/>
        </w:rPr>
        <w:t>In addition to being writing intensive, ENGL1A is also a reading course. You</w:t>
      </w:r>
      <w:r w:rsidRPr="00D742B5">
        <w:rPr>
          <w:lang w:eastAsia="en-US"/>
        </w:rPr>
        <w:t xml:space="preserve"> will read a variety of rhetorical</w:t>
      </w:r>
      <w:r>
        <w:rPr>
          <w:lang w:eastAsia="en-US"/>
        </w:rPr>
        <w:t xml:space="preserve"> and professional</w:t>
      </w:r>
      <w:r w:rsidRPr="00D742B5">
        <w:rPr>
          <w:lang w:eastAsia="en-US"/>
        </w:rPr>
        <w:t xml:space="preserve"> works </w:t>
      </w:r>
      <w:r>
        <w:rPr>
          <w:lang w:eastAsia="en-US"/>
        </w:rPr>
        <w:t>on global citizenship, sustainability, and creativity</w:t>
      </w:r>
      <w:r w:rsidRPr="00D742B5">
        <w:rPr>
          <w:lang w:eastAsia="en-US"/>
        </w:rPr>
        <w:t xml:space="preserve">. </w:t>
      </w:r>
      <w:r>
        <w:rPr>
          <w:lang w:eastAsia="en-US"/>
        </w:rPr>
        <w:t>All r</w:t>
      </w:r>
      <w:r w:rsidRPr="00D742B5">
        <w:rPr>
          <w:lang w:eastAsia="en-US"/>
        </w:rPr>
        <w:t xml:space="preserve">eadings will include useful models of writing for academic, general, and specific audiences. </w:t>
      </w:r>
    </w:p>
    <w:p w:rsidR="003C284C" w:rsidRPr="00D742B5" w:rsidRDefault="003C284C" w:rsidP="003C284C">
      <w:pPr>
        <w:rPr>
          <w:u w:val="single"/>
          <w:lang w:eastAsia="en-US"/>
        </w:rPr>
      </w:pPr>
    </w:p>
    <w:p w:rsidR="003C284C" w:rsidRPr="000C441F" w:rsidRDefault="003C284C" w:rsidP="003C284C">
      <w:pPr>
        <w:rPr>
          <w:lang w:eastAsia="en-US"/>
        </w:rPr>
      </w:pPr>
      <w:r>
        <w:rPr>
          <w:u w:val="single"/>
          <w:lang w:eastAsia="en-US"/>
        </w:rPr>
        <w:t>Final Exam</w:t>
      </w:r>
      <w:r>
        <w:rPr>
          <w:lang w:eastAsia="en-US"/>
        </w:rPr>
        <w:t xml:space="preserve">: As part of your final experience in the course, you will be participating in a campus-wide student showcase. This will consist of a group multimodal presentation at an open assembly for all SJSU students and faculty. Projects will be related to the primary issues discussed in the course. </w:t>
      </w:r>
    </w:p>
    <w:p w:rsidR="003C284C" w:rsidRPr="00310987" w:rsidRDefault="003C284C" w:rsidP="003C284C">
      <w:pPr>
        <w:pStyle w:val="Heading2"/>
      </w:pPr>
      <w:r w:rsidRPr="00310987">
        <w:t xml:space="preserve">Required Texts/Readings </w:t>
      </w:r>
    </w:p>
    <w:p w:rsidR="003C284C" w:rsidRPr="00310987" w:rsidRDefault="003C284C" w:rsidP="003C284C">
      <w:pPr>
        <w:pStyle w:val="Heading3"/>
      </w:pPr>
      <w:r w:rsidRPr="00310987">
        <w:t>Textbook</w:t>
      </w:r>
    </w:p>
    <w:p w:rsidR="003C284C" w:rsidRDefault="003C284C" w:rsidP="003C284C">
      <w:pPr>
        <w:spacing w:line="285" w:lineRule="atLeast"/>
        <w:rPr>
          <w:b/>
        </w:rPr>
      </w:pPr>
      <w:r w:rsidRPr="001E063A">
        <w:rPr>
          <w:b/>
        </w:rPr>
        <w:t>Required</w:t>
      </w:r>
    </w:p>
    <w:p w:rsidR="003C284C" w:rsidRDefault="003C284C" w:rsidP="003C284C">
      <w:pPr>
        <w:spacing w:line="285" w:lineRule="atLeast"/>
        <w:rPr>
          <w:lang w:eastAsia="en-US"/>
        </w:rPr>
      </w:pPr>
      <w:r w:rsidRPr="00304E32">
        <w:lastRenderedPageBreak/>
        <w:t>Main Textbook</w:t>
      </w:r>
      <w:r>
        <w:t xml:space="preserve">: </w:t>
      </w:r>
      <w:r w:rsidRPr="001E063A">
        <w:rPr>
          <w:b/>
          <w:i/>
        </w:rPr>
        <w:t>The Norton Field Guide to Writing</w:t>
      </w:r>
      <w:r w:rsidRPr="001E063A">
        <w:rPr>
          <w:b/>
        </w:rPr>
        <w:t>, 3</w:t>
      </w:r>
      <w:r w:rsidRPr="001E063A">
        <w:rPr>
          <w:b/>
          <w:vertAlign w:val="superscript"/>
        </w:rPr>
        <w:t>rd</w:t>
      </w:r>
      <w:r w:rsidRPr="001E063A">
        <w:rPr>
          <w:b/>
        </w:rPr>
        <w:t xml:space="preserve"> edition</w:t>
      </w:r>
      <w:r>
        <w:t xml:space="preserve">, </w:t>
      </w:r>
      <w:r w:rsidRPr="00277E1F">
        <w:t>201</w:t>
      </w:r>
      <w:r>
        <w:t xml:space="preserve">3 </w:t>
      </w:r>
      <w:hyperlink r:id="rId6" w:history="1"/>
      <w:r>
        <w:t xml:space="preserve">by Richard Bullock      </w:t>
      </w:r>
      <w:r w:rsidRPr="001E063A">
        <w:rPr>
          <w:rFonts w:ascii="Verdana" w:hAnsi="Verdana" w:cs="Arial"/>
          <w:bCs/>
          <w:color w:val="333333"/>
          <w:sz w:val="20"/>
          <w:szCs w:val="20"/>
        </w:rPr>
        <w:t>ISBN-10:</w:t>
      </w:r>
      <w:r>
        <w:rPr>
          <w:rFonts w:ascii="Arial" w:hAnsi="Arial" w:cs="Arial"/>
          <w:color w:val="333333"/>
          <w:sz w:val="20"/>
          <w:szCs w:val="20"/>
        </w:rPr>
        <w:t xml:space="preserve"> </w:t>
      </w:r>
      <w:proofErr w:type="gramStart"/>
      <w:r>
        <w:rPr>
          <w:rFonts w:ascii="Arial" w:hAnsi="Arial" w:cs="Arial"/>
          <w:color w:val="333333"/>
          <w:sz w:val="20"/>
          <w:szCs w:val="20"/>
        </w:rPr>
        <w:t xml:space="preserve">0393919560  </w:t>
      </w:r>
      <w:r w:rsidRPr="001E063A">
        <w:rPr>
          <w:rFonts w:ascii="Verdana" w:hAnsi="Verdana" w:cs="Arial"/>
          <w:color w:val="333333"/>
          <w:sz w:val="20"/>
          <w:szCs w:val="20"/>
        </w:rPr>
        <w:t>ISBN</w:t>
      </w:r>
      <w:proofErr w:type="gramEnd"/>
      <w:r w:rsidRPr="001E063A">
        <w:rPr>
          <w:rFonts w:ascii="Verdana" w:hAnsi="Verdana" w:cs="Arial"/>
          <w:color w:val="333333"/>
          <w:sz w:val="20"/>
          <w:szCs w:val="20"/>
        </w:rPr>
        <w:t>-13:</w:t>
      </w:r>
      <w:r w:rsidRPr="001E063A">
        <w:rPr>
          <w:rFonts w:ascii="Arial" w:hAnsi="Arial" w:cs="Arial"/>
          <w:color w:val="333333"/>
          <w:sz w:val="20"/>
          <w:szCs w:val="20"/>
        </w:rPr>
        <w:t xml:space="preserve"> 978-0393919561</w:t>
      </w:r>
      <w:r>
        <w:rPr>
          <w:rFonts w:ascii="Arial" w:hAnsi="Arial" w:cs="Arial"/>
          <w:color w:val="333333"/>
          <w:sz w:val="20"/>
          <w:szCs w:val="20"/>
        </w:rPr>
        <w:t xml:space="preserve"> </w:t>
      </w:r>
      <w:r w:rsidRPr="001E063A">
        <w:rPr>
          <w:u w:val="single"/>
          <w:lang w:eastAsia="en-US"/>
        </w:rPr>
        <w:t>Note</w:t>
      </w:r>
      <w:r>
        <w:rPr>
          <w:lang w:eastAsia="en-US"/>
        </w:rPr>
        <w:t>: This is the main text, referred to as “text” on your schedule. You will need to bring it with you to class always.</w:t>
      </w:r>
    </w:p>
    <w:p w:rsidR="003C284C" w:rsidRDefault="003C284C" w:rsidP="003C284C">
      <w:pPr>
        <w:spacing w:line="285" w:lineRule="atLeast"/>
        <w:rPr>
          <w:b/>
        </w:rPr>
      </w:pPr>
    </w:p>
    <w:p w:rsidR="003C284C" w:rsidRPr="001E063A" w:rsidRDefault="003C284C" w:rsidP="003C284C">
      <w:pPr>
        <w:spacing w:line="285" w:lineRule="atLeast"/>
        <w:rPr>
          <w:rFonts w:ascii="Arial" w:hAnsi="Arial" w:cs="Arial"/>
          <w:color w:val="333333"/>
          <w:sz w:val="20"/>
          <w:szCs w:val="20"/>
          <w:lang w:eastAsia="en-US"/>
        </w:rPr>
      </w:pPr>
      <w:r w:rsidRPr="00A00EA7">
        <w:rPr>
          <w:b/>
        </w:rPr>
        <w:t>Articles</w:t>
      </w:r>
      <w:r>
        <w:t xml:space="preserve"> and excerpts from a wide variety of books will be posted online for you to read. </w:t>
      </w:r>
      <w:r w:rsidRPr="00304E32">
        <w:rPr>
          <w:b/>
        </w:rPr>
        <w:t>It is very important that you read these before class AND bring them with you,</w:t>
      </w:r>
      <w:r>
        <w:t xml:space="preserve"> either on an electronic reader or (ideally) printed out so you can mark on them. Print double-sided if you can to save paper.</w:t>
      </w:r>
    </w:p>
    <w:p w:rsidR="003C284C" w:rsidRDefault="003C284C" w:rsidP="003C284C">
      <w:pPr>
        <w:rPr>
          <w:b/>
        </w:rPr>
      </w:pPr>
    </w:p>
    <w:p w:rsidR="003C284C" w:rsidRDefault="003C284C" w:rsidP="003C284C">
      <w:pPr>
        <w:rPr>
          <w:b/>
        </w:rPr>
      </w:pPr>
      <w:r>
        <w:rPr>
          <w:b/>
        </w:rPr>
        <w:t>Strongly Recommended</w:t>
      </w:r>
    </w:p>
    <w:p w:rsidR="003C284C" w:rsidRDefault="003C284C" w:rsidP="003C284C">
      <w:r w:rsidRPr="001E063A">
        <w:rPr>
          <w:b/>
        </w:rPr>
        <w:t xml:space="preserve">SJSU Campus Handbook: </w:t>
      </w:r>
      <w:r w:rsidRPr="001E063A">
        <w:rPr>
          <w:b/>
          <w:i/>
        </w:rPr>
        <w:t>The Everyday Writer</w:t>
      </w:r>
      <w:r>
        <w:t xml:space="preserve"> by Andrea Lunsford </w:t>
      </w:r>
    </w:p>
    <w:p w:rsidR="003C284C" w:rsidRPr="00304E32" w:rsidRDefault="003C284C" w:rsidP="003C284C">
      <w:r w:rsidRPr="0078419B">
        <w:rPr>
          <w:u w:val="single"/>
          <w:lang w:eastAsia="en-US"/>
        </w:rPr>
        <w:t>Note</w:t>
      </w:r>
      <w:r>
        <w:rPr>
          <w:lang w:eastAsia="en-US"/>
        </w:rPr>
        <w:t xml:space="preserve">: An electronic copy of this book </w:t>
      </w:r>
      <w:r w:rsidRPr="001E063A">
        <w:rPr>
          <w:b/>
          <w:lang w:eastAsia="en-US"/>
        </w:rPr>
        <w:t>will be given</w:t>
      </w:r>
      <w:r>
        <w:rPr>
          <w:lang w:eastAsia="en-US"/>
        </w:rPr>
        <w:t xml:space="preserve"> </w:t>
      </w:r>
      <w:r w:rsidRPr="001E063A">
        <w:rPr>
          <w:b/>
          <w:lang w:eastAsia="en-US"/>
        </w:rPr>
        <w:t xml:space="preserve">free </w:t>
      </w:r>
      <w:r>
        <w:rPr>
          <w:lang w:eastAsia="en-US"/>
        </w:rPr>
        <w:t xml:space="preserve">to all new freshman, to be kept throughout your college career. I will recommend that you use it from time to time for reference, particularly for grammar, but I won’t require it, and you won’t need to bring it to class every time. </w:t>
      </w:r>
      <w:r w:rsidRPr="001C1531">
        <w:rPr>
          <w:b/>
          <w:lang w:eastAsia="en-US"/>
        </w:rPr>
        <w:t>Check on the free copy before you buy!</w:t>
      </w:r>
    </w:p>
    <w:p w:rsidR="003C284C" w:rsidRDefault="003C284C" w:rsidP="003C284C">
      <w:pPr>
        <w:rPr>
          <w:lang w:eastAsia="en-US"/>
        </w:rPr>
      </w:pPr>
    </w:p>
    <w:p w:rsidR="003C284C" w:rsidRDefault="003C284C" w:rsidP="003C284C">
      <w:pPr>
        <w:rPr>
          <w:lang w:eastAsia="en-US"/>
        </w:rPr>
      </w:pPr>
      <w:r>
        <w:rPr>
          <w:lang w:eastAsia="en-US"/>
        </w:rPr>
        <w:t xml:space="preserve">Print ISBN: </w:t>
      </w:r>
      <w:r w:rsidRPr="00CE7E4E">
        <w:rPr>
          <w:lang w:eastAsia="en-US"/>
        </w:rPr>
        <w:t>9781457667121</w:t>
      </w:r>
      <w:r>
        <w:rPr>
          <w:lang w:eastAsia="en-US"/>
        </w:rPr>
        <w:t xml:space="preserve"> Available at the Spartan Bookstore</w:t>
      </w:r>
    </w:p>
    <w:p w:rsidR="003C284C" w:rsidRDefault="003C284C" w:rsidP="003C284C">
      <w:pPr>
        <w:rPr>
          <w:lang w:eastAsia="en-US"/>
        </w:rPr>
      </w:pPr>
      <w:r>
        <w:rPr>
          <w:lang w:eastAsia="en-US"/>
        </w:rPr>
        <w:t>Electronic edition ISBN: 9781457633423 or Bedford/St. Martin’s online (http</w:t>
      </w:r>
      <w:proofErr w:type="gramStart"/>
      <w:r>
        <w:rPr>
          <w:lang w:eastAsia="en-US"/>
        </w:rPr>
        <w:t>:/</w:t>
      </w:r>
      <w:proofErr w:type="gramEnd"/>
      <w:r>
        <w:rPr>
          <w:lang w:eastAsia="en-US"/>
        </w:rPr>
        <w:t>/bcs.bedfordstmartins. com/everydaywriter5e/)</w:t>
      </w:r>
    </w:p>
    <w:p w:rsidR="003C284C" w:rsidRPr="00310987" w:rsidRDefault="003C284C" w:rsidP="003C284C">
      <w:pPr>
        <w:pStyle w:val="Heading2"/>
      </w:pPr>
      <w:r w:rsidRPr="00310987">
        <w:t>Course Requirements and Assignments</w:t>
      </w:r>
    </w:p>
    <w:p w:rsidR="003C284C" w:rsidRPr="00310987" w:rsidRDefault="003C284C" w:rsidP="003C284C">
      <w:r w:rsidRPr="00310987">
        <w:rPr>
          <w:bCs/>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rsidRPr="00310987">
        <w:t xml:space="preserve">More details about student workload can be found in </w:t>
      </w:r>
      <w:hyperlink r:id="rId7" w:history="1">
        <w:r w:rsidRPr="00310987">
          <w:rPr>
            <w:rStyle w:val="Hyperlink"/>
          </w:rPr>
          <w:t xml:space="preserve">University Policy </w:t>
        </w:r>
        <w:r w:rsidRPr="00310987">
          <w:rPr>
            <w:rStyle w:val="Hyperlink"/>
          </w:rPr>
          <w:t>S</w:t>
        </w:r>
        <w:r w:rsidRPr="00310987">
          <w:rPr>
            <w:rStyle w:val="Hyperlink"/>
          </w:rPr>
          <w:t>12-3</w:t>
        </w:r>
      </w:hyperlink>
      <w:r w:rsidRPr="00310987">
        <w:t xml:space="preserve"> at http://www.sjsu.edu/senate/docs/S12-3.pdf.</w:t>
      </w:r>
    </w:p>
    <w:p w:rsidR="003C284C" w:rsidRDefault="003C284C" w:rsidP="003C284C"/>
    <w:p w:rsidR="003C284C" w:rsidRPr="00E262B2" w:rsidRDefault="003C284C" w:rsidP="003C284C">
      <w:pPr>
        <w:rPr>
          <w:u w:val="single"/>
        </w:rPr>
      </w:pPr>
      <w:r w:rsidRPr="00E262B2">
        <w:rPr>
          <w:u w:val="single"/>
        </w:rPr>
        <w:t>Assignment Word Count and Learning Goals</w:t>
      </w:r>
    </w:p>
    <w:p w:rsidR="003C284C" w:rsidRPr="006554D5" w:rsidRDefault="003C284C" w:rsidP="003C284C"/>
    <w:tbl>
      <w:tblPr>
        <w:tblW w:w="86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1417"/>
        <w:gridCol w:w="882"/>
        <w:gridCol w:w="1021"/>
        <w:gridCol w:w="796"/>
        <w:gridCol w:w="1058"/>
      </w:tblGrid>
      <w:tr w:rsidR="003C284C" w:rsidTr="00B15D4F">
        <w:tc>
          <w:tcPr>
            <w:tcW w:w="3454" w:type="dxa"/>
            <w:shd w:val="clear" w:color="auto" w:fill="auto"/>
          </w:tcPr>
          <w:p w:rsidR="003C284C" w:rsidRDefault="003C284C" w:rsidP="00B15D4F">
            <w:pPr>
              <w:rPr>
                <w:rFonts w:ascii="Calibri" w:eastAsia="Calibri" w:hAnsi="Calibri"/>
                <w:b/>
                <w:sz w:val="22"/>
                <w:szCs w:val="22"/>
              </w:rPr>
            </w:pPr>
          </w:p>
          <w:p w:rsidR="003C284C" w:rsidRPr="00E262B2" w:rsidRDefault="003C284C" w:rsidP="00B15D4F">
            <w:pPr>
              <w:rPr>
                <w:rFonts w:ascii="Calibri" w:eastAsia="Calibri" w:hAnsi="Calibri"/>
                <w:b/>
                <w:sz w:val="22"/>
                <w:szCs w:val="22"/>
              </w:rPr>
            </w:pPr>
            <w:r w:rsidRPr="00E262B2">
              <w:rPr>
                <w:rFonts w:ascii="Calibri" w:eastAsia="Calibri" w:hAnsi="Calibri"/>
                <w:b/>
                <w:sz w:val="22"/>
                <w:szCs w:val="22"/>
              </w:rPr>
              <w:t>Assignment</w:t>
            </w:r>
          </w:p>
        </w:tc>
        <w:tc>
          <w:tcPr>
            <w:tcW w:w="1417" w:type="dxa"/>
            <w:shd w:val="clear" w:color="auto" w:fill="auto"/>
          </w:tcPr>
          <w:p w:rsidR="003C284C" w:rsidRDefault="003C284C" w:rsidP="00B15D4F">
            <w:pPr>
              <w:rPr>
                <w:rFonts w:ascii="Calibri" w:eastAsia="Calibri" w:hAnsi="Calibri"/>
                <w:b/>
                <w:sz w:val="22"/>
                <w:szCs w:val="22"/>
              </w:rPr>
            </w:pPr>
          </w:p>
          <w:p w:rsidR="003C284C" w:rsidRPr="00E262B2" w:rsidRDefault="003C284C" w:rsidP="00B15D4F">
            <w:pPr>
              <w:rPr>
                <w:rFonts w:ascii="Calibri" w:eastAsia="Calibri" w:hAnsi="Calibri"/>
                <w:b/>
                <w:sz w:val="22"/>
                <w:szCs w:val="22"/>
              </w:rPr>
            </w:pPr>
            <w:r w:rsidRPr="00E262B2">
              <w:rPr>
                <w:rFonts w:ascii="Calibri" w:eastAsia="Calibri" w:hAnsi="Calibri"/>
                <w:b/>
                <w:sz w:val="22"/>
                <w:szCs w:val="22"/>
              </w:rPr>
              <w:t>Word Count</w:t>
            </w:r>
          </w:p>
        </w:tc>
        <w:tc>
          <w:tcPr>
            <w:tcW w:w="882" w:type="dxa"/>
            <w:shd w:val="clear" w:color="auto" w:fill="auto"/>
          </w:tcPr>
          <w:p w:rsidR="003C284C" w:rsidRDefault="003C284C" w:rsidP="00B15D4F">
            <w:pPr>
              <w:rPr>
                <w:rFonts w:ascii="Calibri" w:eastAsia="Calibri" w:hAnsi="Calibri"/>
                <w:b/>
                <w:sz w:val="22"/>
                <w:szCs w:val="22"/>
              </w:rPr>
            </w:pPr>
          </w:p>
          <w:p w:rsidR="003C284C" w:rsidRPr="00E262B2" w:rsidRDefault="003C284C" w:rsidP="00B15D4F">
            <w:pPr>
              <w:rPr>
                <w:rFonts w:ascii="Calibri" w:eastAsia="Calibri" w:hAnsi="Calibri"/>
                <w:b/>
                <w:sz w:val="22"/>
                <w:szCs w:val="22"/>
              </w:rPr>
            </w:pPr>
            <w:r w:rsidRPr="00E262B2">
              <w:rPr>
                <w:rFonts w:ascii="Calibri" w:eastAsia="Calibri" w:hAnsi="Calibri"/>
                <w:b/>
                <w:sz w:val="22"/>
                <w:szCs w:val="22"/>
              </w:rPr>
              <w:t>GELO</w:t>
            </w:r>
          </w:p>
        </w:tc>
        <w:tc>
          <w:tcPr>
            <w:tcW w:w="1021" w:type="dxa"/>
            <w:shd w:val="clear" w:color="auto" w:fill="auto"/>
          </w:tcPr>
          <w:p w:rsidR="003C284C" w:rsidRDefault="003C284C" w:rsidP="00B15D4F">
            <w:pPr>
              <w:rPr>
                <w:rFonts w:ascii="Calibri" w:eastAsia="Calibri" w:hAnsi="Calibri"/>
                <w:b/>
                <w:sz w:val="22"/>
                <w:szCs w:val="22"/>
              </w:rPr>
            </w:pPr>
          </w:p>
          <w:p w:rsidR="003C284C" w:rsidRPr="00E262B2" w:rsidRDefault="003C284C" w:rsidP="00B15D4F">
            <w:pPr>
              <w:rPr>
                <w:rFonts w:ascii="Calibri" w:eastAsia="Calibri" w:hAnsi="Calibri"/>
                <w:b/>
                <w:sz w:val="22"/>
                <w:szCs w:val="22"/>
              </w:rPr>
            </w:pPr>
            <w:r w:rsidRPr="00E262B2">
              <w:rPr>
                <w:rFonts w:ascii="Calibri" w:eastAsia="Calibri" w:hAnsi="Calibri"/>
                <w:b/>
                <w:sz w:val="22"/>
                <w:szCs w:val="22"/>
              </w:rPr>
              <w:t>CLO</w:t>
            </w:r>
          </w:p>
        </w:tc>
        <w:tc>
          <w:tcPr>
            <w:tcW w:w="796" w:type="dxa"/>
          </w:tcPr>
          <w:p w:rsidR="003C284C" w:rsidRDefault="003C284C" w:rsidP="00B15D4F">
            <w:pPr>
              <w:rPr>
                <w:rFonts w:ascii="Calibri" w:eastAsia="Calibri" w:hAnsi="Calibri"/>
                <w:b/>
                <w:sz w:val="22"/>
                <w:szCs w:val="22"/>
              </w:rPr>
            </w:pPr>
          </w:p>
          <w:p w:rsidR="003C284C" w:rsidRPr="00E262B2" w:rsidRDefault="003C284C" w:rsidP="00B15D4F">
            <w:pPr>
              <w:rPr>
                <w:rFonts w:ascii="Calibri" w:eastAsia="Calibri" w:hAnsi="Calibri"/>
                <w:b/>
                <w:sz w:val="22"/>
                <w:szCs w:val="22"/>
              </w:rPr>
            </w:pPr>
            <w:r>
              <w:rPr>
                <w:rFonts w:ascii="Calibri" w:eastAsia="Calibri" w:hAnsi="Calibri"/>
                <w:b/>
                <w:sz w:val="22"/>
                <w:szCs w:val="22"/>
              </w:rPr>
              <w:t>points</w:t>
            </w:r>
          </w:p>
        </w:tc>
        <w:tc>
          <w:tcPr>
            <w:tcW w:w="1058" w:type="dxa"/>
          </w:tcPr>
          <w:p w:rsidR="003C284C" w:rsidRPr="00E262B2" w:rsidRDefault="003C284C" w:rsidP="00B15D4F">
            <w:pPr>
              <w:rPr>
                <w:rFonts w:ascii="Calibri" w:eastAsia="Calibri" w:hAnsi="Calibri"/>
                <w:b/>
                <w:sz w:val="22"/>
                <w:szCs w:val="22"/>
              </w:rPr>
            </w:pPr>
            <w:r>
              <w:rPr>
                <w:rFonts w:ascii="Calibri" w:eastAsia="Calibri" w:hAnsi="Calibri"/>
                <w:b/>
                <w:sz w:val="22"/>
                <w:szCs w:val="22"/>
              </w:rPr>
              <w:t>% of semester grade</w:t>
            </w:r>
          </w:p>
        </w:tc>
      </w:tr>
      <w:tr w:rsidR="003C284C" w:rsidTr="00B15D4F">
        <w:tc>
          <w:tcPr>
            <w:tcW w:w="3454" w:type="dxa"/>
            <w:shd w:val="clear" w:color="auto" w:fill="auto"/>
          </w:tcPr>
          <w:p w:rsidR="003C284C" w:rsidRPr="00444F53" w:rsidRDefault="003C284C" w:rsidP="00B15D4F">
            <w:pPr>
              <w:rPr>
                <w:sz w:val="22"/>
                <w:szCs w:val="22"/>
              </w:rPr>
            </w:pPr>
            <w:r w:rsidRPr="00444F53">
              <w:rPr>
                <w:sz w:val="22"/>
                <w:szCs w:val="22"/>
              </w:rPr>
              <w:t xml:space="preserve">In-class essay </w:t>
            </w:r>
          </w:p>
        </w:tc>
        <w:tc>
          <w:tcPr>
            <w:tcW w:w="1417" w:type="dxa"/>
            <w:shd w:val="clear" w:color="auto" w:fill="auto"/>
          </w:tcPr>
          <w:p w:rsidR="003C284C" w:rsidRPr="009B7CCF" w:rsidRDefault="003C284C" w:rsidP="00B15D4F">
            <w:pPr>
              <w:rPr>
                <w:rFonts w:ascii="Calibri" w:eastAsia="Calibri" w:hAnsi="Calibri"/>
                <w:sz w:val="22"/>
                <w:szCs w:val="22"/>
              </w:rPr>
            </w:pPr>
            <w:r>
              <w:t xml:space="preserve">  500 words      </w:t>
            </w:r>
          </w:p>
        </w:tc>
        <w:tc>
          <w:tcPr>
            <w:tcW w:w="882" w:type="dxa"/>
            <w:shd w:val="clear" w:color="auto" w:fill="auto"/>
          </w:tcPr>
          <w:p w:rsidR="003C284C" w:rsidRPr="009B7CCF" w:rsidRDefault="003C284C" w:rsidP="00B15D4F">
            <w:pPr>
              <w:rPr>
                <w:rFonts w:ascii="Calibri" w:eastAsia="Calibri" w:hAnsi="Calibri"/>
                <w:sz w:val="22"/>
                <w:szCs w:val="22"/>
              </w:rPr>
            </w:pPr>
            <w:r>
              <w:rPr>
                <w:rFonts w:ascii="Calibri" w:eastAsia="Calibri" w:hAnsi="Calibri"/>
                <w:sz w:val="22"/>
                <w:szCs w:val="22"/>
              </w:rPr>
              <w:t>1, 3-5</w:t>
            </w:r>
          </w:p>
        </w:tc>
        <w:tc>
          <w:tcPr>
            <w:tcW w:w="1021" w:type="dxa"/>
            <w:shd w:val="clear" w:color="auto" w:fill="auto"/>
          </w:tcPr>
          <w:p w:rsidR="003C284C" w:rsidRPr="009B7CCF" w:rsidRDefault="003C284C" w:rsidP="00B15D4F">
            <w:pPr>
              <w:rPr>
                <w:rFonts w:ascii="Calibri" w:eastAsia="Calibri" w:hAnsi="Calibri"/>
                <w:sz w:val="22"/>
                <w:szCs w:val="22"/>
              </w:rPr>
            </w:pPr>
            <w:r>
              <w:rPr>
                <w:rFonts w:ascii="Calibri" w:eastAsia="Calibri" w:hAnsi="Calibri"/>
                <w:sz w:val="22"/>
                <w:szCs w:val="22"/>
              </w:rPr>
              <w:t>1,2,4,6-9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 xml:space="preserve">  50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 xml:space="preserve">  5%</w:t>
            </w:r>
          </w:p>
        </w:tc>
      </w:tr>
      <w:tr w:rsidR="003C284C" w:rsidTr="00B15D4F">
        <w:trPr>
          <w:trHeight w:val="332"/>
        </w:trPr>
        <w:tc>
          <w:tcPr>
            <w:tcW w:w="3454" w:type="dxa"/>
            <w:shd w:val="clear" w:color="auto" w:fill="auto"/>
          </w:tcPr>
          <w:p w:rsidR="003C284C" w:rsidRPr="00444F53" w:rsidRDefault="003C284C" w:rsidP="00B15D4F">
            <w:pPr>
              <w:rPr>
                <w:rFonts w:ascii="Calibri" w:eastAsia="Calibri" w:hAnsi="Calibri"/>
                <w:b/>
                <w:sz w:val="22"/>
                <w:szCs w:val="22"/>
              </w:rPr>
            </w:pPr>
            <w:r w:rsidRPr="00444F53">
              <w:rPr>
                <w:b/>
                <w:sz w:val="22"/>
                <w:szCs w:val="22"/>
              </w:rPr>
              <w:t xml:space="preserve">Rhetorical Analysis essay </w:t>
            </w:r>
            <w:r w:rsidRPr="00444F53">
              <w:rPr>
                <w:sz w:val="22"/>
                <w:szCs w:val="22"/>
              </w:rPr>
              <w:t>(revised)</w:t>
            </w:r>
          </w:p>
        </w:tc>
        <w:tc>
          <w:tcPr>
            <w:tcW w:w="1417" w:type="dxa"/>
            <w:shd w:val="clear" w:color="auto" w:fill="auto"/>
          </w:tcPr>
          <w:p w:rsidR="003C284C" w:rsidRPr="009B7CCF" w:rsidRDefault="003C284C" w:rsidP="00B15D4F">
            <w:pPr>
              <w:rPr>
                <w:rFonts w:ascii="Calibri" w:eastAsia="Calibri" w:hAnsi="Calibri"/>
                <w:sz w:val="22"/>
                <w:szCs w:val="22"/>
              </w:rPr>
            </w:pPr>
            <w:r>
              <w:t>1200 words</w:t>
            </w:r>
          </w:p>
        </w:tc>
        <w:tc>
          <w:tcPr>
            <w:tcW w:w="882" w:type="dxa"/>
            <w:shd w:val="clear" w:color="auto" w:fill="auto"/>
          </w:tcPr>
          <w:p w:rsidR="003C284C" w:rsidRPr="009B7CCF" w:rsidRDefault="003C284C" w:rsidP="00B15D4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3C284C" w:rsidRPr="009B7CCF" w:rsidRDefault="003C284C" w:rsidP="00B15D4F">
            <w:pPr>
              <w:rPr>
                <w:rFonts w:ascii="Calibri" w:eastAsia="Calibri" w:hAnsi="Calibri"/>
                <w:sz w:val="22"/>
                <w:szCs w:val="22"/>
              </w:rPr>
            </w:pPr>
            <w:r>
              <w:rPr>
                <w:rFonts w:ascii="Calibri" w:eastAsia="Calibri" w:hAnsi="Calibri"/>
                <w:sz w:val="22"/>
                <w:szCs w:val="22"/>
              </w:rPr>
              <w:t>1,2,4,6-9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100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10%</w:t>
            </w:r>
          </w:p>
        </w:tc>
      </w:tr>
      <w:tr w:rsidR="003C284C" w:rsidTr="00B15D4F">
        <w:tc>
          <w:tcPr>
            <w:tcW w:w="3454" w:type="dxa"/>
            <w:shd w:val="clear" w:color="auto" w:fill="auto"/>
          </w:tcPr>
          <w:p w:rsidR="003C284C" w:rsidRPr="00444F53" w:rsidRDefault="003C284C" w:rsidP="00B15D4F">
            <w:pPr>
              <w:rPr>
                <w:rFonts w:ascii="Calibri" w:eastAsia="Calibri" w:hAnsi="Calibri"/>
                <w:sz w:val="22"/>
                <w:szCs w:val="22"/>
              </w:rPr>
            </w:pPr>
            <w:r w:rsidRPr="00444F53">
              <w:rPr>
                <w:b/>
                <w:sz w:val="22"/>
                <w:szCs w:val="22"/>
              </w:rPr>
              <w:t xml:space="preserve">Profile/ Site Visit Essay </w:t>
            </w:r>
            <w:r w:rsidRPr="00444F53">
              <w:rPr>
                <w:sz w:val="22"/>
                <w:szCs w:val="22"/>
              </w:rPr>
              <w:t>(revised)</w:t>
            </w:r>
          </w:p>
        </w:tc>
        <w:tc>
          <w:tcPr>
            <w:tcW w:w="1417" w:type="dxa"/>
            <w:shd w:val="clear" w:color="auto" w:fill="auto"/>
          </w:tcPr>
          <w:p w:rsidR="003C284C" w:rsidRDefault="003C284C" w:rsidP="00B15D4F">
            <w:pPr>
              <w:rPr>
                <w:rFonts w:ascii="Calibri" w:eastAsia="Calibri" w:hAnsi="Calibri"/>
                <w:sz w:val="22"/>
                <w:szCs w:val="22"/>
              </w:rPr>
            </w:pPr>
            <w:r>
              <w:t>1400 words</w:t>
            </w:r>
          </w:p>
        </w:tc>
        <w:tc>
          <w:tcPr>
            <w:tcW w:w="882"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200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20%</w:t>
            </w:r>
          </w:p>
        </w:tc>
      </w:tr>
      <w:tr w:rsidR="003C284C" w:rsidTr="00B15D4F">
        <w:tc>
          <w:tcPr>
            <w:tcW w:w="3454" w:type="dxa"/>
            <w:shd w:val="clear" w:color="auto" w:fill="auto"/>
          </w:tcPr>
          <w:p w:rsidR="003C284C" w:rsidRPr="00444F53" w:rsidRDefault="003C284C" w:rsidP="00B15D4F">
            <w:pPr>
              <w:rPr>
                <w:rFonts w:ascii="Calibri" w:eastAsia="Calibri" w:hAnsi="Calibri"/>
                <w:sz w:val="22"/>
                <w:szCs w:val="22"/>
              </w:rPr>
            </w:pPr>
            <w:r w:rsidRPr="00444F53">
              <w:rPr>
                <w:b/>
                <w:sz w:val="22"/>
                <w:szCs w:val="22"/>
              </w:rPr>
              <w:t xml:space="preserve">Critical Response Essay </w:t>
            </w:r>
            <w:r w:rsidRPr="00444F53">
              <w:rPr>
                <w:sz w:val="22"/>
                <w:szCs w:val="22"/>
              </w:rPr>
              <w:t>(revised)</w:t>
            </w:r>
          </w:p>
        </w:tc>
        <w:tc>
          <w:tcPr>
            <w:tcW w:w="1417" w:type="dxa"/>
            <w:shd w:val="clear" w:color="auto" w:fill="auto"/>
          </w:tcPr>
          <w:p w:rsidR="003C284C" w:rsidRDefault="003C284C" w:rsidP="00B15D4F">
            <w:pPr>
              <w:rPr>
                <w:rFonts w:ascii="Calibri" w:eastAsia="Calibri" w:hAnsi="Calibri"/>
                <w:sz w:val="22"/>
                <w:szCs w:val="22"/>
              </w:rPr>
            </w:pPr>
            <w:r>
              <w:t>1400 words</w:t>
            </w:r>
          </w:p>
        </w:tc>
        <w:tc>
          <w:tcPr>
            <w:tcW w:w="882"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200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20%</w:t>
            </w:r>
          </w:p>
        </w:tc>
      </w:tr>
      <w:tr w:rsidR="003C284C" w:rsidTr="00B15D4F">
        <w:tc>
          <w:tcPr>
            <w:tcW w:w="3454" w:type="dxa"/>
            <w:shd w:val="clear" w:color="auto" w:fill="auto"/>
          </w:tcPr>
          <w:p w:rsidR="003C284C" w:rsidRPr="00444F53" w:rsidRDefault="003C284C" w:rsidP="00B15D4F">
            <w:pPr>
              <w:rPr>
                <w:rFonts w:ascii="Calibri" w:eastAsia="Calibri" w:hAnsi="Calibri"/>
                <w:sz w:val="22"/>
                <w:szCs w:val="22"/>
              </w:rPr>
            </w:pPr>
            <w:r w:rsidRPr="00444F53">
              <w:rPr>
                <w:b/>
                <w:sz w:val="22"/>
                <w:szCs w:val="22"/>
              </w:rPr>
              <w:t xml:space="preserve">In-class essay expansion/revision </w:t>
            </w:r>
          </w:p>
        </w:tc>
        <w:tc>
          <w:tcPr>
            <w:tcW w:w="1417" w:type="dxa"/>
            <w:shd w:val="clear" w:color="auto" w:fill="auto"/>
          </w:tcPr>
          <w:p w:rsidR="003C284C" w:rsidRDefault="003C284C" w:rsidP="00B15D4F">
            <w:pPr>
              <w:rPr>
                <w:rFonts w:ascii="Calibri" w:eastAsia="Calibri" w:hAnsi="Calibri"/>
                <w:sz w:val="22"/>
                <w:szCs w:val="22"/>
              </w:rPr>
            </w:pPr>
            <w:r>
              <w:t>1000 words</w:t>
            </w:r>
          </w:p>
        </w:tc>
        <w:tc>
          <w:tcPr>
            <w:tcW w:w="882"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175</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20%</w:t>
            </w:r>
          </w:p>
        </w:tc>
      </w:tr>
      <w:tr w:rsidR="003C284C" w:rsidTr="00B15D4F">
        <w:tc>
          <w:tcPr>
            <w:tcW w:w="3454" w:type="dxa"/>
            <w:shd w:val="clear" w:color="auto" w:fill="auto"/>
          </w:tcPr>
          <w:p w:rsidR="003C284C" w:rsidRPr="00444F53" w:rsidRDefault="003C284C" w:rsidP="00B15D4F">
            <w:pPr>
              <w:rPr>
                <w:rFonts w:ascii="Calibri" w:eastAsia="Calibri" w:hAnsi="Calibri"/>
                <w:sz w:val="22"/>
                <w:szCs w:val="22"/>
              </w:rPr>
            </w:pPr>
            <w:r w:rsidRPr="00444F53">
              <w:rPr>
                <w:sz w:val="22"/>
                <w:szCs w:val="22"/>
              </w:rPr>
              <w:t xml:space="preserve">Film Club Presentation </w:t>
            </w:r>
          </w:p>
        </w:tc>
        <w:tc>
          <w:tcPr>
            <w:tcW w:w="1417" w:type="dxa"/>
            <w:shd w:val="clear" w:color="auto" w:fill="auto"/>
          </w:tcPr>
          <w:p w:rsidR="003C284C" w:rsidRDefault="003C284C" w:rsidP="00B15D4F">
            <w:pPr>
              <w:rPr>
                <w:rFonts w:ascii="Calibri" w:eastAsia="Calibri" w:hAnsi="Calibri"/>
                <w:sz w:val="22"/>
                <w:szCs w:val="22"/>
              </w:rPr>
            </w:pPr>
            <w:r>
              <w:t xml:space="preserve">  500 words</w:t>
            </w:r>
          </w:p>
        </w:tc>
        <w:tc>
          <w:tcPr>
            <w:tcW w:w="882"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 3- 5</w:t>
            </w:r>
          </w:p>
        </w:tc>
        <w:tc>
          <w:tcPr>
            <w:tcW w:w="1021"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1,2,4,5-9</w:t>
            </w: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100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 xml:space="preserve"> 10%</w:t>
            </w:r>
          </w:p>
        </w:tc>
      </w:tr>
      <w:tr w:rsidR="003C284C" w:rsidTr="00B15D4F">
        <w:tc>
          <w:tcPr>
            <w:tcW w:w="3454" w:type="dxa"/>
            <w:shd w:val="clear" w:color="auto" w:fill="auto"/>
          </w:tcPr>
          <w:p w:rsidR="003C284C" w:rsidRPr="00444F53" w:rsidRDefault="003C284C" w:rsidP="00B15D4F">
            <w:pPr>
              <w:rPr>
                <w:rFonts w:ascii="Calibri" w:eastAsia="Calibri" w:hAnsi="Calibri"/>
                <w:sz w:val="22"/>
                <w:szCs w:val="22"/>
              </w:rPr>
            </w:pPr>
            <w:r w:rsidRPr="00444F53">
              <w:rPr>
                <w:sz w:val="22"/>
                <w:szCs w:val="22"/>
              </w:rPr>
              <w:t xml:space="preserve">Small assignments                         </w:t>
            </w:r>
          </w:p>
        </w:tc>
        <w:tc>
          <w:tcPr>
            <w:tcW w:w="1417" w:type="dxa"/>
            <w:shd w:val="clear" w:color="auto" w:fill="auto"/>
          </w:tcPr>
          <w:p w:rsidR="003C284C" w:rsidRDefault="003C284C" w:rsidP="00B15D4F">
            <w:pPr>
              <w:rPr>
                <w:rFonts w:ascii="Calibri" w:eastAsia="Calibri" w:hAnsi="Calibri"/>
                <w:sz w:val="22"/>
                <w:szCs w:val="22"/>
              </w:rPr>
            </w:pPr>
            <w:r>
              <w:rPr>
                <w:rFonts w:ascii="Calibri" w:eastAsia="Calibri" w:hAnsi="Calibri"/>
                <w:sz w:val="22"/>
                <w:szCs w:val="22"/>
              </w:rPr>
              <w:t xml:space="preserve">    </w:t>
            </w:r>
          </w:p>
        </w:tc>
        <w:tc>
          <w:tcPr>
            <w:tcW w:w="882" w:type="dxa"/>
            <w:shd w:val="clear" w:color="auto" w:fill="auto"/>
          </w:tcPr>
          <w:p w:rsidR="003C284C" w:rsidRDefault="003C284C" w:rsidP="00B15D4F">
            <w:pPr>
              <w:rPr>
                <w:rFonts w:ascii="Calibri" w:eastAsia="Calibri" w:hAnsi="Calibri"/>
                <w:sz w:val="22"/>
                <w:szCs w:val="22"/>
              </w:rPr>
            </w:pPr>
          </w:p>
        </w:tc>
        <w:tc>
          <w:tcPr>
            <w:tcW w:w="1021" w:type="dxa"/>
            <w:shd w:val="clear" w:color="auto" w:fill="auto"/>
          </w:tcPr>
          <w:p w:rsidR="003C284C" w:rsidRDefault="003C284C" w:rsidP="00B15D4F">
            <w:pPr>
              <w:rPr>
                <w:rFonts w:ascii="Calibri" w:eastAsia="Calibri" w:hAnsi="Calibri"/>
                <w:sz w:val="22"/>
                <w:szCs w:val="22"/>
              </w:rPr>
            </w:pPr>
          </w:p>
        </w:tc>
        <w:tc>
          <w:tcPr>
            <w:tcW w:w="796" w:type="dxa"/>
          </w:tcPr>
          <w:p w:rsidR="003C284C" w:rsidRDefault="003C284C" w:rsidP="00B15D4F">
            <w:pPr>
              <w:rPr>
                <w:rFonts w:ascii="Calibri" w:eastAsia="Calibri" w:hAnsi="Calibri"/>
                <w:sz w:val="22"/>
                <w:szCs w:val="22"/>
              </w:rPr>
            </w:pPr>
            <w:r>
              <w:rPr>
                <w:rFonts w:ascii="Calibri" w:eastAsia="Calibri" w:hAnsi="Calibri"/>
                <w:sz w:val="22"/>
                <w:szCs w:val="22"/>
              </w:rPr>
              <w:t>200</w:t>
            </w:r>
          </w:p>
        </w:tc>
        <w:tc>
          <w:tcPr>
            <w:tcW w:w="1058" w:type="dxa"/>
          </w:tcPr>
          <w:p w:rsidR="003C284C" w:rsidRDefault="003C284C" w:rsidP="00B15D4F">
            <w:pPr>
              <w:rPr>
                <w:rFonts w:ascii="Calibri" w:eastAsia="Calibri" w:hAnsi="Calibri"/>
                <w:sz w:val="22"/>
                <w:szCs w:val="22"/>
              </w:rPr>
            </w:pPr>
            <w:r>
              <w:rPr>
                <w:rFonts w:ascii="Calibri" w:eastAsia="Calibri" w:hAnsi="Calibri"/>
                <w:sz w:val="22"/>
                <w:szCs w:val="22"/>
              </w:rPr>
              <w:t>20%</w:t>
            </w:r>
          </w:p>
        </w:tc>
      </w:tr>
    </w:tbl>
    <w:p w:rsidR="003C284C" w:rsidRDefault="003C284C" w:rsidP="003C284C"/>
    <w:p w:rsidR="003C284C" w:rsidRPr="00304E32" w:rsidRDefault="003C284C" w:rsidP="003C284C">
      <w:pPr>
        <w:pStyle w:val="Heading2"/>
      </w:pPr>
      <w:r w:rsidRPr="00310987">
        <w:t>Grading Policy</w:t>
      </w:r>
      <w:r>
        <w:t xml:space="preserve"> </w:t>
      </w:r>
      <w:r w:rsidRPr="00304E32">
        <w:rPr>
          <w:b w:val="0"/>
          <w:bCs w:val="0"/>
          <w:iCs w:val="0"/>
        </w:rPr>
        <w:t xml:space="preserve">Requirements for particular assignments will vary, but in all cases essay grades will reflect the paper’s effectiveness, which are broken down into three major areas: content (this </w:t>
      </w:r>
      <w:r w:rsidRPr="00304E32">
        <w:rPr>
          <w:b w:val="0"/>
          <w:bCs w:val="0"/>
          <w:iCs w:val="0"/>
        </w:rPr>
        <w:lastRenderedPageBreak/>
        <w:t xml:space="preserve">includes maturity and sophistication of thought), organization, and expression. All assignments, quizzes, and exams are graded on a traditional A-F scale. </w:t>
      </w:r>
    </w:p>
    <w:p w:rsidR="003C284C" w:rsidRDefault="003C284C" w:rsidP="003C284C">
      <w:pPr>
        <w:rPr>
          <w:b/>
        </w:rPr>
      </w:pPr>
    </w:p>
    <w:p w:rsidR="003C284C" w:rsidRPr="0067549C" w:rsidRDefault="003C284C" w:rsidP="003C284C">
      <w:pPr>
        <w:rPr>
          <w:b/>
        </w:rPr>
      </w:pPr>
      <w:r w:rsidRPr="009C329C">
        <w:rPr>
          <w:b/>
        </w:rPr>
        <w:t>This course must be passed with a C or better as a CSU graduation requirement.</w:t>
      </w:r>
    </w:p>
    <w:p w:rsidR="003C284C" w:rsidRPr="00C2485F" w:rsidRDefault="003C284C" w:rsidP="003C284C">
      <w:pPr>
        <w:rPr>
          <w:bCs/>
          <w:iCs/>
        </w:rPr>
      </w:pPr>
    </w:p>
    <w:p w:rsidR="003C284C" w:rsidRPr="00C2485F" w:rsidRDefault="003C284C" w:rsidP="003C284C">
      <w:r w:rsidRPr="00C2485F">
        <w:t>The following are the criteria by which essays are typically evaluated in first-year writing courses:</w:t>
      </w:r>
    </w:p>
    <w:p w:rsidR="003C284C" w:rsidRPr="00C2485F" w:rsidRDefault="003C284C" w:rsidP="003C284C">
      <w:pPr>
        <w:numPr>
          <w:ilvl w:val="0"/>
          <w:numId w:val="6"/>
        </w:numPr>
      </w:pPr>
      <w:r w:rsidRPr="00C2485F">
        <w:t xml:space="preserve">An </w:t>
      </w:r>
      <w:r w:rsidRPr="00304E32">
        <w:rPr>
          <w:b/>
        </w:rPr>
        <w:t>“</w:t>
      </w:r>
      <w:proofErr w:type="gramStart"/>
      <w:r w:rsidRPr="00304E32">
        <w:rPr>
          <w:b/>
        </w:rPr>
        <w:t>A</w:t>
      </w:r>
      <w:proofErr w:type="gramEnd"/>
      <w:r w:rsidRPr="00304E32">
        <w:rPr>
          <w:b/>
        </w:rPr>
        <w:t>” essay</w:t>
      </w:r>
      <w:r w:rsidRPr="00C2485F">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3C284C" w:rsidRPr="00C2485F" w:rsidRDefault="003C284C" w:rsidP="003C284C">
      <w:pPr>
        <w:numPr>
          <w:ilvl w:val="0"/>
          <w:numId w:val="6"/>
        </w:numPr>
      </w:pPr>
      <w:r w:rsidRPr="00C2485F">
        <w:t xml:space="preserve">A </w:t>
      </w:r>
      <w:r w:rsidRPr="00304E32">
        <w:rPr>
          <w:b/>
        </w:rPr>
        <w:t>“B” essay</w:t>
      </w:r>
      <w:r w:rsidRPr="00C2485F">
        <w:t xml:space="preserve"> demonstrates competence in the same categories as an “</w:t>
      </w:r>
      <w:proofErr w:type="gramStart"/>
      <w:r w:rsidRPr="00C2485F">
        <w:t>A</w:t>
      </w:r>
      <w:proofErr w:type="gramEnd"/>
      <w:r w:rsidRPr="00C2485F">
        <w:t>” essay, but it may show slight weakness in one of these areas. It will respond to the topic suitably and may contain some grammatical, mechanical or usage errors.</w:t>
      </w:r>
    </w:p>
    <w:p w:rsidR="003C284C" w:rsidRPr="00C2485F" w:rsidRDefault="003C284C" w:rsidP="003C284C">
      <w:pPr>
        <w:numPr>
          <w:ilvl w:val="0"/>
          <w:numId w:val="6"/>
        </w:numPr>
      </w:pPr>
      <w:r w:rsidRPr="00C2485F">
        <w:t xml:space="preserve">A </w:t>
      </w:r>
      <w:r w:rsidRPr="00304E32">
        <w:rPr>
          <w:b/>
        </w:rPr>
        <w:t>“C” essay</w:t>
      </w:r>
      <w:r w:rsidRPr="00C2485F">
        <w:t xml:space="preserve"> will complete the requirements of the assignment, but it will show weaknesses in fundamentals, such as development. It may show weakness in mastery of grammar, mechanics, usage, or voice.</w:t>
      </w:r>
    </w:p>
    <w:p w:rsidR="003C284C" w:rsidRPr="00C2485F" w:rsidRDefault="003C284C" w:rsidP="003C284C">
      <w:pPr>
        <w:numPr>
          <w:ilvl w:val="0"/>
          <w:numId w:val="6"/>
        </w:numPr>
      </w:pPr>
      <w:r w:rsidRPr="00C2485F">
        <w:t xml:space="preserve">A </w:t>
      </w:r>
      <w:r w:rsidRPr="00304E32">
        <w:rPr>
          <w:b/>
        </w:rPr>
        <w:t>“D” essay</w:t>
      </w:r>
      <w:r w:rsidRPr="00C2485F">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3C284C" w:rsidRDefault="003C284C" w:rsidP="003C284C">
      <w:pPr>
        <w:numPr>
          <w:ilvl w:val="0"/>
          <w:numId w:val="6"/>
        </w:numPr>
      </w:pPr>
      <w:r w:rsidRPr="00C2485F">
        <w:t xml:space="preserve">An </w:t>
      </w:r>
      <w:r w:rsidRPr="00304E32">
        <w:rPr>
          <w:b/>
        </w:rPr>
        <w:t>“F” essay</w:t>
      </w:r>
      <w:r w:rsidRPr="00C2485F">
        <w:t xml:space="preserve"> does not fulfill the requirements of the assignment.</w:t>
      </w:r>
    </w:p>
    <w:p w:rsidR="003C284C" w:rsidRPr="00C2485F" w:rsidRDefault="003C284C" w:rsidP="003C284C">
      <w:pPr>
        <w:numPr>
          <w:ilvl w:val="0"/>
          <w:numId w:val="6"/>
        </w:numPr>
        <w:rPr>
          <w:b/>
          <w:bCs/>
          <w:iCs/>
        </w:rPr>
      </w:pPr>
      <w:r w:rsidRPr="00C2485F">
        <w:rPr>
          <w:bCs/>
          <w:iCs/>
        </w:rPr>
        <w:t>Total point value for the course is 1000.  At the end of the semester, your overall course grade will be calculated as follows:</w:t>
      </w:r>
      <w:r w:rsidRPr="00C2485F">
        <w:rPr>
          <w:b/>
          <w:bCs/>
          <w:iCs/>
        </w:rPr>
        <w:t xml:space="preserve">    </w:t>
      </w:r>
    </w:p>
    <w:p w:rsidR="003C284C" w:rsidRPr="00C2485F" w:rsidRDefault="003C284C" w:rsidP="003C284C">
      <w:pPr>
        <w:rPr>
          <w:u w:val="single"/>
        </w:rPr>
      </w:pPr>
    </w:p>
    <w:p w:rsidR="003C284C" w:rsidRPr="00C2485F" w:rsidRDefault="003C284C" w:rsidP="003C284C">
      <w:pPr>
        <w:rPr>
          <w:u w:val="single"/>
        </w:rPr>
      </w:pPr>
      <w:r w:rsidRPr="00C2485F">
        <w:rPr>
          <w:u w:val="single"/>
        </w:rPr>
        <w:t>Course Grade Point Values</w:t>
      </w:r>
    </w:p>
    <w:p w:rsidR="003C284C" w:rsidRPr="00C2485F" w:rsidRDefault="003C284C" w:rsidP="003C284C">
      <w:r w:rsidRPr="00C2485F">
        <w:t>1000-930</w:t>
      </w:r>
      <w:r w:rsidRPr="00C2485F">
        <w:tab/>
        <w:t>A</w:t>
      </w:r>
      <w:r w:rsidRPr="00C2485F">
        <w:tab/>
      </w:r>
      <w:r>
        <w:tab/>
      </w:r>
      <w:r>
        <w:tab/>
      </w:r>
      <w:r w:rsidRPr="00C2485F">
        <w:t>769-730</w:t>
      </w:r>
      <w:r w:rsidRPr="00304E32">
        <w:t xml:space="preserve"> </w:t>
      </w:r>
      <w:r>
        <w:tab/>
        <w:t>C</w:t>
      </w:r>
      <w:r w:rsidRPr="00C2485F">
        <w:tab/>
      </w:r>
    </w:p>
    <w:p w:rsidR="003C284C" w:rsidRPr="00C2485F" w:rsidRDefault="003C284C" w:rsidP="003C284C">
      <w:r w:rsidRPr="00C2485F">
        <w:t>929-900</w:t>
      </w:r>
      <w:r w:rsidRPr="00C2485F">
        <w:tab/>
        <w:t>A-</w:t>
      </w:r>
      <w:r w:rsidRPr="00C2485F">
        <w:tab/>
      </w:r>
      <w:r>
        <w:tab/>
      </w:r>
      <w:r>
        <w:tab/>
      </w:r>
      <w:r w:rsidRPr="00C2485F">
        <w:t>729-700</w:t>
      </w:r>
      <w:r w:rsidRPr="00304E32">
        <w:t xml:space="preserve"> </w:t>
      </w:r>
      <w:r>
        <w:tab/>
      </w:r>
      <w:r w:rsidRPr="00C2485F">
        <w:t>C-</w:t>
      </w:r>
      <w:r>
        <w:tab/>
      </w:r>
      <w:r w:rsidRPr="00C2485F">
        <w:tab/>
      </w:r>
    </w:p>
    <w:p w:rsidR="003C284C" w:rsidRPr="00C2485F" w:rsidRDefault="003C284C" w:rsidP="003C284C">
      <w:r w:rsidRPr="00C2485F">
        <w:t>899-870</w:t>
      </w:r>
      <w:r w:rsidRPr="00C2485F">
        <w:tab/>
        <w:t>B+</w:t>
      </w:r>
      <w:r w:rsidRPr="00C2485F">
        <w:tab/>
      </w:r>
      <w:r>
        <w:tab/>
      </w:r>
      <w:r>
        <w:tab/>
      </w:r>
      <w:r w:rsidRPr="00C2485F">
        <w:t>699-670</w:t>
      </w:r>
      <w:r w:rsidRPr="00304E32">
        <w:t xml:space="preserve"> </w:t>
      </w:r>
      <w:r>
        <w:tab/>
      </w:r>
      <w:r w:rsidRPr="00C2485F">
        <w:t>D+</w:t>
      </w:r>
      <w:r>
        <w:tab/>
      </w:r>
      <w:r w:rsidRPr="00C2485F">
        <w:tab/>
      </w:r>
    </w:p>
    <w:p w:rsidR="003C284C" w:rsidRPr="00C2485F" w:rsidRDefault="003C284C" w:rsidP="003C284C">
      <w:r w:rsidRPr="00C2485F">
        <w:t>869-830</w:t>
      </w:r>
      <w:r w:rsidRPr="00C2485F">
        <w:tab/>
        <w:t>B</w:t>
      </w:r>
      <w:r w:rsidRPr="00C2485F">
        <w:tab/>
      </w:r>
      <w:r>
        <w:tab/>
      </w:r>
      <w:r>
        <w:tab/>
      </w:r>
      <w:r w:rsidRPr="00C2485F">
        <w:t>669-630</w:t>
      </w:r>
      <w:r w:rsidRPr="00304E32">
        <w:t xml:space="preserve"> </w:t>
      </w:r>
      <w:r>
        <w:tab/>
      </w:r>
      <w:r w:rsidRPr="00C2485F">
        <w:t xml:space="preserve">D </w:t>
      </w:r>
      <w:r>
        <w:tab/>
      </w:r>
      <w:r w:rsidRPr="00C2485F">
        <w:tab/>
      </w:r>
    </w:p>
    <w:p w:rsidR="003C284C" w:rsidRPr="00C2485F" w:rsidRDefault="003C284C" w:rsidP="003C284C">
      <w:r w:rsidRPr="00C2485F">
        <w:t>829-800</w:t>
      </w:r>
      <w:r w:rsidRPr="00C2485F">
        <w:tab/>
        <w:t>B-</w:t>
      </w:r>
      <w:r w:rsidRPr="00C2485F">
        <w:tab/>
      </w:r>
      <w:r>
        <w:tab/>
      </w:r>
      <w:r>
        <w:tab/>
      </w:r>
      <w:r w:rsidRPr="00C2485F">
        <w:t>629-600</w:t>
      </w:r>
      <w:r w:rsidRPr="00304E32">
        <w:t xml:space="preserve"> </w:t>
      </w:r>
      <w:r>
        <w:tab/>
      </w:r>
      <w:r w:rsidRPr="00C2485F">
        <w:t>D-</w:t>
      </w:r>
      <w:r>
        <w:tab/>
      </w:r>
      <w:r w:rsidRPr="00C2485F">
        <w:tab/>
      </w:r>
    </w:p>
    <w:p w:rsidR="003C284C" w:rsidRPr="00C2485F" w:rsidRDefault="003C284C" w:rsidP="003C284C">
      <w:r w:rsidRPr="00C2485F">
        <w:t>799-770</w:t>
      </w:r>
      <w:r w:rsidRPr="00C2485F">
        <w:tab/>
        <w:t>C+</w:t>
      </w:r>
      <w:r w:rsidRPr="00C2485F">
        <w:tab/>
      </w:r>
      <w:r>
        <w:tab/>
      </w:r>
      <w:r>
        <w:tab/>
      </w:r>
      <w:r w:rsidRPr="00C2485F">
        <w:t>599-0</w:t>
      </w:r>
      <w:r w:rsidRPr="00C2485F">
        <w:tab/>
      </w:r>
      <w:r>
        <w:tab/>
      </w:r>
      <w:r w:rsidRPr="00C2485F">
        <w:t xml:space="preserve">F </w:t>
      </w:r>
      <w:r>
        <w:tab/>
      </w:r>
      <w:r w:rsidRPr="00C2485F">
        <w:tab/>
      </w:r>
    </w:p>
    <w:p w:rsidR="003C284C" w:rsidRDefault="003C284C" w:rsidP="003C284C"/>
    <w:p w:rsidR="003C284C" w:rsidRPr="00304E32" w:rsidRDefault="003C284C" w:rsidP="003C284C">
      <w:r>
        <w:rPr>
          <w:b/>
        </w:rPr>
        <w:t>Late Work Policy:</w:t>
      </w:r>
      <w:r>
        <w:t xml:space="preserve"> Late homework will not be accepted, and that includes work you try to turn in when you’re late to class. Also, </w:t>
      </w:r>
      <w:r w:rsidRPr="00C41451">
        <w:rPr>
          <w:b/>
        </w:rPr>
        <w:t>you can’t email work to me instead of coming to class to hand it in.</w:t>
      </w:r>
      <w:r>
        <w:t xml:space="preserve"> Sorry, but I’ve tried leniency and it just leads to chaos and overwork for me. Major assignments (the essays) </w:t>
      </w:r>
      <w:r w:rsidRPr="00C41451">
        <w:rPr>
          <w:i/>
        </w:rPr>
        <w:t>will be</w:t>
      </w:r>
      <w:r>
        <w:t xml:space="preserve"> accepted up to one week late, but they will be penalized for each day they are late, including weekends. No paper will be accepted later than one week. Just to be clear, students who disappear from the class for weeks and then try to turn in everything at the end </w:t>
      </w:r>
      <w:r>
        <w:rPr>
          <w:b/>
        </w:rPr>
        <w:t>will fail the class.</w:t>
      </w:r>
      <w:r>
        <w:t xml:space="preserve"> </w:t>
      </w:r>
    </w:p>
    <w:p w:rsidR="003C284C" w:rsidRPr="00304E32" w:rsidRDefault="003C284C" w:rsidP="003C284C">
      <w:pPr>
        <w:pStyle w:val="NormalWeb"/>
        <w:rPr>
          <w:b/>
          <w:szCs w:val="22"/>
        </w:rPr>
      </w:pPr>
      <w:r w:rsidRPr="002333D1">
        <w:rPr>
          <w:b/>
          <w:sz w:val="22"/>
          <w:szCs w:val="22"/>
        </w:rPr>
        <w:t xml:space="preserve">Extra Credit: </w:t>
      </w:r>
      <w:r w:rsidRPr="00304E32">
        <w:rPr>
          <w:szCs w:val="22"/>
        </w:rPr>
        <w:t xml:space="preserve">To soften the no-late-homework policy and to encourage you to seek enriching extra learning experiences, I will allow you to earn extra points by attending campus lectures or performances and writing about them. I will also draw up a list of a few other options that relate more closely to our course goals and themes. </w:t>
      </w:r>
      <w:r w:rsidRPr="00304E32">
        <w:rPr>
          <w:b/>
          <w:szCs w:val="22"/>
        </w:rPr>
        <w:t>There is a 30-point maximum per semester, per student, for extra credit</w:t>
      </w:r>
      <w:r w:rsidRPr="00304E32">
        <w:rPr>
          <w:szCs w:val="22"/>
        </w:rPr>
        <w:t xml:space="preserve">. Extra credit can be turned in any time, but it will be graded when I </w:t>
      </w:r>
      <w:r w:rsidRPr="00304E32">
        <w:rPr>
          <w:szCs w:val="22"/>
        </w:rPr>
        <w:lastRenderedPageBreak/>
        <w:t xml:space="preserve">have time. Please do not nag! </w:t>
      </w:r>
      <w:r w:rsidRPr="00304E32">
        <w:rPr>
          <w:b/>
          <w:szCs w:val="22"/>
        </w:rPr>
        <w:t xml:space="preserve">The final deadline for extra credit is the morning of the final, but you can turn in only one that day. </w:t>
      </w:r>
    </w:p>
    <w:p w:rsidR="003C284C" w:rsidRPr="00304E32" w:rsidRDefault="003C284C" w:rsidP="003C284C">
      <w:pPr>
        <w:pStyle w:val="NormalWeb"/>
        <w:rPr>
          <w:szCs w:val="22"/>
        </w:rPr>
      </w:pPr>
      <w:r w:rsidRPr="00304E32">
        <w:rPr>
          <w:b/>
          <w:szCs w:val="22"/>
        </w:rPr>
        <w:t xml:space="preserve">Turnitin.com: </w:t>
      </w:r>
      <w:r w:rsidRPr="00304E32">
        <w:rPr>
          <w:szCs w:val="22"/>
        </w:rPr>
        <w:t xml:space="preserve">To receive credit, all major papers (those on the chart above, except the in-class essay) must be submitted to Turnitin.com AND submitted as a hard copy in class. Ideally you should submit your paper to </w:t>
      </w:r>
      <w:proofErr w:type="spellStart"/>
      <w:r w:rsidRPr="00304E32">
        <w:rPr>
          <w:szCs w:val="22"/>
        </w:rPr>
        <w:t>Turnitin</w:t>
      </w:r>
      <w:proofErr w:type="spellEnd"/>
      <w:r w:rsidRPr="00304E32">
        <w:rPr>
          <w:szCs w:val="22"/>
        </w:rPr>
        <w:t xml:space="preserve"> just as you print out the hard copy so you won’t forget. If I have to remind you to submit your paper to </w:t>
      </w:r>
      <w:proofErr w:type="spellStart"/>
      <w:r w:rsidRPr="00304E32">
        <w:rPr>
          <w:szCs w:val="22"/>
        </w:rPr>
        <w:t>Turnitin</w:t>
      </w:r>
      <w:proofErr w:type="spellEnd"/>
      <w:r w:rsidRPr="00304E32">
        <w:rPr>
          <w:szCs w:val="22"/>
        </w:rPr>
        <w:t>, your grade might suffer, so please be responsible about this.</w:t>
      </w:r>
    </w:p>
    <w:p w:rsidR="003C284C" w:rsidRPr="00310987" w:rsidRDefault="003C284C" w:rsidP="003C284C">
      <w:pPr>
        <w:pStyle w:val="Heading2"/>
      </w:pPr>
      <w:r w:rsidRPr="00310987">
        <w:t>Classroom Protocol</w:t>
      </w:r>
    </w:p>
    <w:p w:rsidR="003C284C" w:rsidRDefault="003C284C" w:rsidP="003C284C">
      <w:pPr>
        <w:rPr>
          <w:b/>
        </w:rPr>
      </w:pPr>
      <w:r w:rsidRPr="00B76928">
        <w:rPr>
          <w:b/>
        </w:rPr>
        <w:t>Attendance and Participation</w:t>
      </w:r>
      <w:r w:rsidRPr="0085205E">
        <w:rPr>
          <w:b/>
        </w:rPr>
        <w:t xml:space="preserve">: </w:t>
      </w:r>
    </w:p>
    <w:p w:rsidR="003C284C" w:rsidRPr="00B76928" w:rsidRDefault="003C284C" w:rsidP="003C284C">
      <w:r w:rsidRPr="0085205E">
        <w:rPr>
          <w:b/>
        </w:rPr>
        <w:t>It is very important that students come to this class regularly and come prepared to participate.</w:t>
      </w:r>
      <w:r w:rsidRPr="00B76928">
        <w:t xml:space="preserve">  This means that reading assignments should be finished </w:t>
      </w:r>
      <w:r w:rsidRPr="00F97205">
        <w:rPr>
          <w:b/>
          <w:i/>
        </w:rPr>
        <w:t>before</w:t>
      </w:r>
      <w:r w:rsidRPr="00B76928">
        <w:t xml:space="preserve"> the class per</w:t>
      </w:r>
      <w:r>
        <w:t>iod when they will be discussed,</w:t>
      </w:r>
      <w:r w:rsidRPr="00B76928">
        <w:t xml:space="preserve"> </w:t>
      </w:r>
      <w:r>
        <w:t xml:space="preserve">that writing assignments should be ready to hand in at the </w:t>
      </w:r>
      <w:r w:rsidRPr="00090D6C">
        <w:rPr>
          <w:b/>
          <w:i/>
        </w:rPr>
        <w:t>beginning</w:t>
      </w:r>
      <w:r>
        <w:t xml:space="preserve"> of class when they are due, </w:t>
      </w:r>
      <w:r w:rsidRPr="00B76928">
        <w:t xml:space="preserve">and that students should arrive at writing workshops with </w:t>
      </w:r>
      <w:r>
        <w:t xml:space="preserve">two </w:t>
      </w:r>
      <w:r w:rsidRPr="00090D6C">
        <w:rPr>
          <w:b/>
          <w:i/>
        </w:rPr>
        <w:t>full-length</w:t>
      </w:r>
      <w:r w:rsidRPr="00B76928">
        <w:t xml:space="preserve"> rough drafts.  There will be</w:t>
      </w:r>
      <w:r>
        <w:t xml:space="preserve"> frequent, unannounced</w:t>
      </w:r>
      <w:r w:rsidRPr="00B76928">
        <w:t xml:space="preserve"> in-class writing</w:t>
      </w:r>
      <w:r>
        <w:t>s</w:t>
      </w:r>
      <w:r w:rsidRPr="00B76928">
        <w:t xml:space="preserve">, and these </w:t>
      </w:r>
      <w:r w:rsidRPr="00B76928">
        <w:rPr>
          <w:u w:val="single"/>
        </w:rPr>
        <w:t>cannot be made up</w:t>
      </w:r>
      <w:r w:rsidRPr="00B76928">
        <w:t xml:space="preserve"> by students who miss class</w:t>
      </w:r>
      <w:r>
        <w:t xml:space="preserve">, </w:t>
      </w:r>
      <w:r w:rsidRPr="00F97205">
        <w:rPr>
          <w:b/>
        </w:rPr>
        <w:t>nor will homework be accepted</w:t>
      </w:r>
      <w:r>
        <w:rPr>
          <w:b/>
        </w:rPr>
        <w:t>,</w:t>
      </w:r>
      <w:r w:rsidRPr="00F97205">
        <w:rPr>
          <w:b/>
        </w:rPr>
        <w:t xml:space="preserve"> electronically or otherwise</w:t>
      </w:r>
      <w:r>
        <w:rPr>
          <w:b/>
        </w:rPr>
        <w:t>,</w:t>
      </w:r>
      <w:r w:rsidRPr="00F97205">
        <w:rPr>
          <w:b/>
        </w:rPr>
        <w:t xml:space="preserve"> from students</w:t>
      </w:r>
      <w:r>
        <w:rPr>
          <w:b/>
        </w:rPr>
        <w:t xml:space="preserve"> who miss class</w:t>
      </w:r>
      <w:r>
        <w:t xml:space="preserve">. In special circumstances, students can submit work early if they will have to miss class, but this should be cleared with the professor beforehand. </w:t>
      </w:r>
      <w:r w:rsidRPr="00B76928">
        <w:t>Poor attendance and weak participation will significantly reduce your learning experience and your grade.</w:t>
      </w:r>
      <w:r>
        <w:t xml:space="preserve"> It is the most common reason that students fail this class.</w:t>
      </w:r>
    </w:p>
    <w:p w:rsidR="003C284C" w:rsidRDefault="003C284C" w:rsidP="003C284C">
      <w:pPr>
        <w:rPr>
          <w:b/>
        </w:rPr>
      </w:pPr>
    </w:p>
    <w:p w:rsidR="003C284C" w:rsidRDefault="003C284C" w:rsidP="003C284C">
      <w:pPr>
        <w:rPr>
          <w:b/>
        </w:rPr>
      </w:pPr>
      <w:r w:rsidRPr="00F97205">
        <w:rPr>
          <w:b/>
        </w:rPr>
        <w:t>Participating in the mandatory peer review workshops is particularly crucial</w:t>
      </w:r>
      <w:r w:rsidRPr="00B76928">
        <w:t>.  If you skip these, you will miss out on valuable advice</w:t>
      </w:r>
      <w:r>
        <w:t>, as well as 15 participation points each time</w:t>
      </w:r>
      <w:r w:rsidRPr="00B76928">
        <w:t>.</w:t>
      </w:r>
      <w:r>
        <w:rPr>
          <w:b/>
        </w:rPr>
        <w:t xml:space="preserve">  </w:t>
      </w:r>
      <w:r w:rsidRPr="00C41451">
        <w:t>If you do miss the in-class peer review, it is your responsibility to get one on your own—and to show evidence of revision--or your paper will not be accepted.</w:t>
      </w:r>
      <w:r>
        <w:rPr>
          <w:b/>
        </w:rPr>
        <w:t xml:space="preserve"> </w:t>
      </w:r>
      <w:r w:rsidRPr="00C41451">
        <w:t>Just to clarify:</w:t>
      </w:r>
      <w:r>
        <w:rPr>
          <w:b/>
        </w:rPr>
        <w:t xml:space="preserve"> any paper NOT peer reviewed and then revised will not be read and will receive a zero.</w:t>
      </w:r>
    </w:p>
    <w:p w:rsidR="003C284C" w:rsidRDefault="003C284C" w:rsidP="003C284C">
      <w:pPr>
        <w:rPr>
          <w:b/>
        </w:rPr>
      </w:pPr>
    </w:p>
    <w:p w:rsidR="003C284C" w:rsidRPr="002F2453" w:rsidRDefault="003C284C" w:rsidP="003C284C">
      <w:r>
        <w:rPr>
          <w:b/>
        </w:rPr>
        <w:t>Professionalism and maturity</w:t>
      </w:r>
      <w:r w:rsidRPr="00B76928">
        <w:rPr>
          <w:b/>
        </w:rPr>
        <w:t>:</w:t>
      </w:r>
      <w:r w:rsidRPr="00B76928">
        <w:t xml:space="preserve">  Perhaps this should go without saying, but I will expect students to treat each other and their professor with courtesy and respect.  This includes the little things, like getting to class on time</w:t>
      </w:r>
      <w:r>
        <w:t>,</w:t>
      </w:r>
      <w:r w:rsidRPr="00B76928">
        <w:t xml:space="preserve"> turnin</w:t>
      </w:r>
      <w:r>
        <w:t>g your cell phones off in class,</w:t>
      </w:r>
      <w:r w:rsidRPr="00B76928">
        <w:t xml:space="preserve"> refraining from </w:t>
      </w:r>
      <w:r>
        <w:t>chatting with buddies in class or toying with your electronic devices.</w:t>
      </w:r>
      <w:r w:rsidRPr="00B76928">
        <w:t xml:space="preserve"> </w:t>
      </w:r>
      <w:r>
        <w:t>Professionalism also involves</w:t>
      </w:r>
      <w:r w:rsidRPr="00B76928">
        <w:t xml:space="preserve"> the more serious matter of avoiding rude or hostile remarks.  Students who show weaknesses in this regard might </w:t>
      </w:r>
      <w:r>
        <w:t>be asked to leave the classroom.</w:t>
      </w:r>
    </w:p>
    <w:p w:rsidR="003C284C" w:rsidRDefault="003C284C" w:rsidP="003C284C">
      <w:pPr>
        <w:pStyle w:val="Heading2"/>
      </w:pPr>
      <w:r w:rsidRPr="00310987">
        <w:t>University Policies</w:t>
      </w:r>
    </w:p>
    <w:p w:rsidR="003C284C" w:rsidRPr="0047413D" w:rsidRDefault="003C284C" w:rsidP="003C284C">
      <w:pPr>
        <w:pStyle w:val="Heading3"/>
      </w:pPr>
      <w:r w:rsidRPr="0047413D">
        <w:t>General Expectations, Rights and Responsibilities of the Student</w:t>
      </w:r>
    </w:p>
    <w:p w:rsidR="003C284C" w:rsidRPr="0047413D" w:rsidRDefault="003C284C" w:rsidP="003C284C">
      <w:pPr>
        <w:pStyle w:val="Normalnumbered"/>
        <w:numPr>
          <w:ilvl w:val="0"/>
          <w:numId w:val="0"/>
        </w:numPr>
      </w:pPr>
      <w:r w:rsidRPr="0047413D">
        <w:t xml:space="preserve">As members of the academic community, students accept both the rights and responsibilities incumbent upon all members of the institution. Students are encouraged to familiarize themselves with SJSU’s policies and practices pertaining to the procedures to follow if and when questions or concerns about a class arises. See </w:t>
      </w:r>
      <w:hyperlink r:id="rId8" w:history="1">
        <w:r w:rsidRPr="0047413D">
          <w:rPr>
            <w:rStyle w:val="Hyperlink"/>
          </w:rPr>
          <w:t>University Policy S90–5</w:t>
        </w:r>
      </w:hyperlink>
      <w:r w:rsidRPr="0047413D">
        <w:t xml:space="preserve"> at http://www.sjsu.edu/senate/docs/S90-5.pdf. More detailed information on a variety of related topics is available in the </w:t>
      </w:r>
      <w:hyperlink r:id="rId9" w:history="1">
        <w:r w:rsidRPr="0047413D">
          <w:rPr>
            <w:rStyle w:val="Hyperlink"/>
          </w:rPr>
          <w:t>SJSU catalog</w:t>
        </w:r>
      </w:hyperlink>
      <w:r w:rsidRPr="0047413D">
        <w:t xml:space="preserve">, at http://info.sjsu.edu/web-dbgen/narr/catalog/rec-12234.12506.html. In general, it is recommended that students begin by seeking clarification or discussing concerns with their instructor.  If such conversation is not possible, or if it does not </w:t>
      </w:r>
      <w:r w:rsidRPr="0047413D">
        <w:lastRenderedPageBreak/>
        <w:t>serve to address the issue, it is recommended that the student contact the Department Chair as a next step.</w:t>
      </w:r>
    </w:p>
    <w:p w:rsidR="003C284C" w:rsidRPr="00310987" w:rsidRDefault="003C284C" w:rsidP="003C284C">
      <w:pPr>
        <w:pStyle w:val="Heading3"/>
      </w:pPr>
      <w:r w:rsidRPr="00310987">
        <w:t>Dropping and Adding</w:t>
      </w:r>
      <w:r>
        <w:t xml:space="preserve"> </w:t>
      </w:r>
      <w:r w:rsidRPr="00304E32">
        <w:rPr>
          <w:b w:val="0"/>
          <w:sz w:val="24"/>
        </w:rPr>
        <w:t xml:space="preserve">Students are responsible for understanding the policies and procedures about add/drop, grade forgiveness, etc.  Refer to the current semester’s </w:t>
      </w:r>
      <w:hyperlink r:id="rId10" w:history="1">
        <w:r w:rsidRPr="00304E32">
          <w:rPr>
            <w:rStyle w:val="Hyperlink"/>
            <w:b w:val="0"/>
          </w:rPr>
          <w:t>Cat</w:t>
        </w:r>
        <w:r w:rsidRPr="00304E32">
          <w:rPr>
            <w:rStyle w:val="Hyperlink"/>
            <w:b w:val="0"/>
          </w:rPr>
          <w:t>a</w:t>
        </w:r>
        <w:r w:rsidRPr="00304E32">
          <w:rPr>
            <w:rStyle w:val="Hyperlink"/>
            <w:b w:val="0"/>
          </w:rPr>
          <w:t>l</w:t>
        </w:r>
        <w:r w:rsidRPr="00304E32">
          <w:rPr>
            <w:rStyle w:val="Hyperlink"/>
            <w:b w:val="0"/>
          </w:rPr>
          <w:t>og Policies</w:t>
        </w:r>
      </w:hyperlink>
      <w:r w:rsidRPr="00304E32">
        <w:rPr>
          <w:b w:val="0"/>
          <w:sz w:val="24"/>
        </w:rPr>
        <w:t xml:space="preserve"> section at http://info.sjsu.edu/static/catalog/policies.html.  Add/drop deadlines can be found on the current academic year calendars document on the </w:t>
      </w:r>
      <w:hyperlink r:id="rId11" w:history="1">
        <w:r w:rsidRPr="00304E32">
          <w:rPr>
            <w:rStyle w:val="Hyperlink"/>
            <w:b w:val="0"/>
          </w:rPr>
          <w:t>Academic C</w:t>
        </w:r>
        <w:r w:rsidRPr="00304E32">
          <w:rPr>
            <w:rStyle w:val="Hyperlink"/>
            <w:b w:val="0"/>
          </w:rPr>
          <w:t>a</w:t>
        </w:r>
        <w:r w:rsidRPr="00304E32">
          <w:rPr>
            <w:rStyle w:val="Hyperlink"/>
            <w:b w:val="0"/>
          </w:rPr>
          <w:t>lendars webpage</w:t>
        </w:r>
      </w:hyperlink>
      <w:r w:rsidRPr="00304E32">
        <w:rPr>
          <w:b w:val="0"/>
          <w:sz w:val="24"/>
        </w:rPr>
        <w:t xml:space="preserve"> at http://www.sjsu.edu/provost/services/academic_calendars/.  The </w:t>
      </w:r>
      <w:hyperlink r:id="rId12" w:history="1">
        <w:r w:rsidRPr="00304E32">
          <w:rPr>
            <w:rStyle w:val="Hyperlink"/>
            <w:b w:val="0"/>
          </w:rPr>
          <w:t xml:space="preserve">Late </w:t>
        </w:r>
        <w:r w:rsidRPr="00304E32">
          <w:rPr>
            <w:rStyle w:val="Hyperlink"/>
            <w:b w:val="0"/>
          </w:rPr>
          <w:t>D</w:t>
        </w:r>
        <w:r w:rsidRPr="00304E32">
          <w:rPr>
            <w:rStyle w:val="Hyperlink"/>
            <w:b w:val="0"/>
          </w:rPr>
          <w:t>rop Policy</w:t>
        </w:r>
      </w:hyperlink>
      <w:r w:rsidRPr="00304E32">
        <w:rPr>
          <w:b w:val="0"/>
          <w:sz w:val="24"/>
        </w:rPr>
        <w:t xml:space="preserve"> is available at http://www.sjsu.edu/aars/policies/latedrops/policy/. Students should be aware of the current deadlines and penalties for dropping classes.</w:t>
      </w:r>
      <w:r w:rsidRPr="00304E32">
        <w:rPr>
          <w:sz w:val="24"/>
        </w:rPr>
        <w:t xml:space="preserve"> </w:t>
      </w:r>
    </w:p>
    <w:p w:rsidR="003C284C" w:rsidRPr="00310987" w:rsidRDefault="003C284C" w:rsidP="003C284C">
      <w:pPr>
        <w:tabs>
          <w:tab w:val="left" w:pos="-720"/>
          <w:tab w:val="left" w:pos="0"/>
          <w:tab w:val="left" w:pos="720"/>
          <w:tab w:val="left" w:pos="1440"/>
          <w:tab w:val="left" w:pos="2160"/>
          <w:tab w:val="left" w:pos="2880"/>
          <w:tab w:val="left" w:pos="3600"/>
          <w:tab w:val="left" w:pos="4320"/>
        </w:tabs>
        <w:autoSpaceDE w:val="0"/>
        <w:autoSpaceDN w:val="0"/>
        <w:adjustRightInd w:val="0"/>
      </w:pPr>
    </w:p>
    <w:p w:rsidR="003C284C" w:rsidRPr="00310987" w:rsidRDefault="003C284C" w:rsidP="003C284C">
      <w:p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Information about the latest changes and news is available at the </w:t>
      </w:r>
      <w:hyperlink r:id="rId13" w:history="1">
        <w:r w:rsidRPr="00310987">
          <w:rPr>
            <w:rStyle w:val="Hyperlink"/>
          </w:rPr>
          <w:t>Advisin</w:t>
        </w:r>
        <w:r w:rsidRPr="00310987">
          <w:rPr>
            <w:rStyle w:val="Hyperlink"/>
          </w:rPr>
          <w:t>g</w:t>
        </w:r>
        <w:r w:rsidRPr="00310987">
          <w:rPr>
            <w:rStyle w:val="Hyperlink"/>
          </w:rPr>
          <w:t xml:space="preserve"> Hub</w:t>
        </w:r>
      </w:hyperlink>
      <w:r w:rsidRPr="00310987">
        <w:t xml:space="preserve"> at http://www.sjsu.edu/advising/.</w:t>
      </w:r>
    </w:p>
    <w:p w:rsidR="003C284C" w:rsidRPr="00310987" w:rsidRDefault="003C284C" w:rsidP="003C284C">
      <w:pPr>
        <w:pStyle w:val="Heading3"/>
      </w:pPr>
      <w:r w:rsidRPr="00310987">
        <w:t>Consent for Recording of Class and Public Sharing of Instructor Material</w:t>
      </w:r>
    </w:p>
    <w:p w:rsidR="003C284C" w:rsidRPr="00310987" w:rsidRDefault="003C284C" w:rsidP="003C284C">
      <w:pPr>
        <w:tabs>
          <w:tab w:val="left" w:pos="-720"/>
          <w:tab w:val="left" w:pos="0"/>
          <w:tab w:val="left" w:pos="720"/>
          <w:tab w:val="left" w:pos="1440"/>
          <w:tab w:val="left" w:pos="2160"/>
          <w:tab w:val="left" w:pos="2880"/>
          <w:tab w:val="left" w:pos="3600"/>
          <w:tab w:val="left" w:pos="4320"/>
        </w:tabs>
        <w:autoSpaceDE w:val="0"/>
        <w:autoSpaceDN w:val="0"/>
        <w:adjustRightInd w:val="0"/>
      </w:pPr>
      <w:hyperlink r:id="rId14" w:history="1">
        <w:r w:rsidRPr="00310987">
          <w:rPr>
            <w:rStyle w:val="Hyperlink"/>
          </w:rPr>
          <w:t>University</w:t>
        </w:r>
        <w:r w:rsidRPr="00310987">
          <w:rPr>
            <w:rStyle w:val="Hyperlink"/>
          </w:rPr>
          <w:t xml:space="preserve"> </w:t>
        </w:r>
        <w:r w:rsidRPr="00310987">
          <w:rPr>
            <w:rStyle w:val="Hyperlink"/>
          </w:rPr>
          <w:t>P</w:t>
        </w:r>
        <w:r w:rsidRPr="00310987">
          <w:rPr>
            <w:rStyle w:val="Hyperlink"/>
          </w:rPr>
          <w:t>olicy</w:t>
        </w:r>
        <w:r w:rsidRPr="00310987">
          <w:rPr>
            <w:rStyle w:val="Hyperlink"/>
          </w:rPr>
          <w:t xml:space="preserve"> </w:t>
        </w:r>
        <w:r w:rsidRPr="00310987">
          <w:rPr>
            <w:rStyle w:val="Hyperlink"/>
          </w:rPr>
          <w:t>S</w:t>
        </w:r>
        <w:r w:rsidRPr="00310987">
          <w:rPr>
            <w:rStyle w:val="Hyperlink"/>
          </w:rPr>
          <w:t>1</w:t>
        </w:r>
        <w:r w:rsidRPr="00310987">
          <w:rPr>
            <w:rStyle w:val="Hyperlink"/>
          </w:rPr>
          <w:t>2-7</w:t>
        </w:r>
      </w:hyperlink>
      <w:r w:rsidRPr="00310987">
        <w:t>, http://www.sjsu.edu/senate/docs/S12-7.pdf, requires students to obtain instructor’s permission to record the course and the following items to be included in the syllabus:</w:t>
      </w:r>
    </w:p>
    <w:p w:rsidR="003C284C" w:rsidRPr="00310987" w:rsidRDefault="003C284C" w:rsidP="003C284C">
      <w:pPr>
        <w:tabs>
          <w:tab w:val="left" w:pos="-720"/>
          <w:tab w:val="left" w:pos="0"/>
          <w:tab w:val="left" w:pos="720"/>
          <w:tab w:val="left" w:pos="1440"/>
          <w:tab w:val="left" w:pos="2160"/>
          <w:tab w:val="left" w:pos="2880"/>
          <w:tab w:val="left" w:pos="3600"/>
          <w:tab w:val="left" w:pos="4320"/>
        </w:tabs>
        <w:autoSpaceDE w:val="0"/>
        <w:autoSpaceDN w:val="0"/>
        <w:adjustRightInd w:val="0"/>
      </w:pPr>
    </w:p>
    <w:p w:rsidR="003C284C" w:rsidRPr="00310987" w:rsidRDefault="003C284C" w:rsidP="003C284C">
      <w:pPr>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“Common courtesy and professional behavior dictate that you notify someone when you are recording him/her. You must obtain the instructor’s permission to make audio or video recordings in this class. Such permission allows the recordings to be used for your private, study purposes only. The recordings are the intellectual property of the instructor; you have not been given any rights to reproduce or distribute the material.” </w:t>
      </w:r>
    </w:p>
    <w:p w:rsidR="003C284C" w:rsidRPr="00310987" w:rsidRDefault="003C284C" w:rsidP="003C284C">
      <w:pPr>
        <w:numPr>
          <w:ilvl w:val="1"/>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It is suggested that the </w:t>
      </w:r>
      <w:proofErr w:type="spellStart"/>
      <w:r w:rsidRPr="00310987">
        <w:t>greensheet</w:t>
      </w:r>
      <w:proofErr w:type="spellEnd"/>
      <w:r w:rsidRPr="00310987">
        <w:t xml:space="preserve"> include the instructor’s process for granting permission, whether in writing or orally and whether for the whole semester or on a class by class basis. </w:t>
      </w:r>
    </w:p>
    <w:p w:rsidR="003C284C" w:rsidRPr="00310987" w:rsidRDefault="003C284C" w:rsidP="003C284C">
      <w:pPr>
        <w:numPr>
          <w:ilvl w:val="1"/>
          <w:numId w:val="3"/>
        </w:numPr>
        <w:tabs>
          <w:tab w:val="left" w:pos="-720"/>
          <w:tab w:val="left" w:pos="0"/>
          <w:tab w:val="left" w:pos="720"/>
          <w:tab w:val="left" w:pos="1440"/>
          <w:tab w:val="left" w:pos="2160"/>
          <w:tab w:val="left" w:pos="2880"/>
          <w:tab w:val="left" w:pos="3600"/>
          <w:tab w:val="left" w:pos="4320"/>
        </w:tabs>
        <w:autoSpaceDE w:val="0"/>
        <w:autoSpaceDN w:val="0"/>
        <w:adjustRightInd w:val="0"/>
      </w:pPr>
      <w:r w:rsidRPr="00310987">
        <w:t xml:space="preserve">In classes where active participation of students or guests may be on the recording, permission of those students or guests should be obtained as well. </w:t>
      </w:r>
    </w:p>
    <w:p w:rsidR="003C284C" w:rsidRPr="00310987" w:rsidRDefault="003C284C" w:rsidP="003C284C">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ind w:left="720"/>
      </w:pPr>
      <w:r w:rsidRPr="00310987">
        <w:t>“Course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w:t>
      </w:r>
    </w:p>
    <w:p w:rsidR="003C284C" w:rsidRPr="00310987" w:rsidRDefault="003C284C" w:rsidP="003C284C">
      <w:pPr>
        <w:pStyle w:val="Heading3"/>
      </w:pPr>
      <w:r w:rsidRPr="00310987">
        <w:t>Academic integrity</w:t>
      </w:r>
    </w:p>
    <w:p w:rsidR="003C284C" w:rsidRPr="00310987" w:rsidRDefault="003C284C" w:rsidP="003C284C">
      <w:pPr>
        <w:pStyle w:val="BodyText"/>
        <w:rPr>
          <w:bCs/>
        </w:rPr>
      </w:pPr>
      <w:r w:rsidRPr="00310987">
        <w:t xml:space="preserve">Your </w:t>
      </w:r>
      <w:r w:rsidRPr="00310987">
        <w:rPr>
          <w:bCs/>
        </w:rPr>
        <w:t xml:space="preserve">commitment, as a student, to learning is evidenced by your enrollment at San Jose State University.  The </w:t>
      </w:r>
      <w:hyperlink r:id="rId15" w:history="1">
        <w:r w:rsidRPr="00310987">
          <w:rPr>
            <w:rStyle w:val="Hyperlink"/>
            <w:bCs/>
          </w:rPr>
          <w:t>University Acad</w:t>
        </w:r>
        <w:r w:rsidRPr="00310987">
          <w:rPr>
            <w:rStyle w:val="Hyperlink"/>
            <w:bCs/>
          </w:rPr>
          <w:t>e</w:t>
        </w:r>
        <w:r w:rsidRPr="00310987">
          <w:rPr>
            <w:rStyle w:val="Hyperlink"/>
            <w:bCs/>
          </w:rPr>
          <w:t>mic I</w:t>
        </w:r>
        <w:r w:rsidRPr="00310987">
          <w:rPr>
            <w:rStyle w:val="Hyperlink"/>
            <w:bCs/>
          </w:rPr>
          <w:t>n</w:t>
        </w:r>
        <w:r w:rsidRPr="00310987">
          <w:rPr>
            <w:rStyle w:val="Hyperlink"/>
            <w:bCs/>
          </w:rPr>
          <w:t>t</w:t>
        </w:r>
        <w:r w:rsidRPr="00310987">
          <w:rPr>
            <w:rStyle w:val="Hyperlink"/>
            <w:bCs/>
          </w:rPr>
          <w:t>egrity Policy S07-2</w:t>
        </w:r>
      </w:hyperlink>
      <w:r w:rsidRPr="00310987">
        <w:rPr>
          <w:bCs/>
        </w:rPr>
        <w:t xml:space="preserve"> at http://www.sjsu.edu/senate/docs/S07-2.pdf requires you to be honest in all your academic course work. Faculty members are required to report all infractions to the office of Student Conduct and Ethical Development. The </w:t>
      </w:r>
      <w:hyperlink r:id="rId16" w:history="1">
        <w:r w:rsidRPr="00310987">
          <w:rPr>
            <w:rStyle w:val="Hyperlink"/>
            <w:bCs/>
          </w:rPr>
          <w:t>Stude</w:t>
        </w:r>
        <w:r w:rsidRPr="00310987">
          <w:rPr>
            <w:rStyle w:val="Hyperlink"/>
            <w:bCs/>
          </w:rPr>
          <w:t>n</w:t>
        </w:r>
        <w:r w:rsidRPr="00310987">
          <w:rPr>
            <w:rStyle w:val="Hyperlink"/>
            <w:bCs/>
          </w:rPr>
          <w:t xml:space="preserve">t </w:t>
        </w:r>
        <w:r w:rsidRPr="00310987">
          <w:rPr>
            <w:rStyle w:val="Hyperlink"/>
            <w:bCs/>
          </w:rPr>
          <w:t>C</w:t>
        </w:r>
        <w:r w:rsidRPr="00310987">
          <w:rPr>
            <w:rStyle w:val="Hyperlink"/>
            <w:bCs/>
          </w:rPr>
          <w:t>onduct and Ethical Development website</w:t>
        </w:r>
      </w:hyperlink>
      <w:r w:rsidRPr="00310987">
        <w:rPr>
          <w:bCs/>
        </w:rPr>
        <w:t xml:space="preserve"> is available at </w:t>
      </w:r>
      <w:hyperlink r:id="rId17" w:history="1">
        <w:r w:rsidRPr="00EA0332">
          <w:rPr>
            <w:rStyle w:val="Hyperlink"/>
            <w:bCs/>
          </w:rPr>
          <w:t>http://www.sjsu.edu/studentconduct/</w:t>
        </w:r>
      </w:hyperlink>
      <w:r>
        <w:rPr>
          <w:bCs/>
        </w:rPr>
        <w:t xml:space="preserve"> </w:t>
      </w:r>
      <w:r w:rsidRPr="00310987">
        <w:rPr>
          <w:bCs/>
        </w:rPr>
        <w:t xml:space="preserve">. </w:t>
      </w:r>
    </w:p>
    <w:p w:rsidR="003C284C" w:rsidRPr="00310987" w:rsidRDefault="003C284C" w:rsidP="003C284C">
      <w:pPr>
        <w:pStyle w:val="Heading3"/>
      </w:pPr>
      <w:r w:rsidRPr="00310987">
        <w:t>Campus Policy in Compliance with the American Disabilities Act</w:t>
      </w:r>
    </w:p>
    <w:p w:rsidR="003C284C" w:rsidRPr="00310987" w:rsidRDefault="003C284C" w:rsidP="003C284C">
      <w:pPr>
        <w:pStyle w:val="BodyText"/>
      </w:pPr>
      <w:r w:rsidRPr="00310987">
        <w:t xml:space="preserve">If you need course adaptations or accommodations because of a disability, or if you need to make special arrangements in case the building must be evacuated, please make an appointment </w:t>
      </w:r>
      <w:r w:rsidRPr="00310987">
        <w:lastRenderedPageBreak/>
        <w:t xml:space="preserve">with me as soon as possible, or see me during office hours. </w:t>
      </w:r>
      <w:hyperlink r:id="rId18" w:history="1">
        <w:r w:rsidRPr="00310987">
          <w:rPr>
            <w:rStyle w:val="Hyperlink"/>
          </w:rPr>
          <w:t>Pres</w:t>
        </w:r>
        <w:r w:rsidRPr="00310987">
          <w:rPr>
            <w:rStyle w:val="Hyperlink"/>
          </w:rPr>
          <w:t>i</w:t>
        </w:r>
        <w:r w:rsidRPr="00310987">
          <w:rPr>
            <w:rStyle w:val="Hyperlink"/>
          </w:rPr>
          <w:t>dential Directive 9</w:t>
        </w:r>
        <w:r w:rsidRPr="00310987">
          <w:rPr>
            <w:rStyle w:val="Hyperlink"/>
          </w:rPr>
          <w:t>7</w:t>
        </w:r>
        <w:r w:rsidRPr="00310987">
          <w:rPr>
            <w:rStyle w:val="Hyperlink"/>
          </w:rPr>
          <w:t>-03</w:t>
        </w:r>
      </w:hyperlink>
      <w:r w:rsidRPr="00310987">
        <w:t xml:space="preserve"> at http://www.sjsu.edu/president/docs/directives/PD_1997-03.pdf requires that students with disabilities requesting accommodations must register with the </w:t>
      </w:r>
      <w:hyperlink r:id="rId19" w:history="1">
        <w:r w:rsidRPr="00310987">
          <w:rPr>
            <w:rStyle w:val="Hyperlink"/>
          </w:rPr>
          <w:t>Accessible Education</w:t>
        </w:r>
        <w:r w:rsidRPr="00310987">
          <w:rPr>
            <w:rStyle w:val="Hyperlink"/>
          </w:rPr>
          <w:t xml:space="preserve"> </w:t>
        </w:r>
        <w:r w:rsidRPr="00310987">
          <w:rPr>
            <w:rStyle w:val="Hyperlink"/>
          </w:rPr>
          <w:t>Center</w:t>
        </w:r>
      </w:hyperlink>
      <w:r w:rsidRPr="00310987">
        <w:t xml:space="preserve"> (AEC) at http://www.sjsu.edu/aec to establish a record of their disability.</w:t>
      </w:r>
    </w:p>
    <w:p w:rsidR="003C284C" w:rsidRPr="00310987" w:rsidRDefault="003C284C" w:rsidP="003C284C">
      <w:pPr>
        <w:pStyle w:val="Heading3"/>
      </w:pPr>
      <w:r w:rsidRPr="00310987">
        <w:t>Accommodation to Students' Religious Holidays</w:t>
      </w:r>
      <w:r>
        <w:t xml:space="preserve"> </w:t>
      </w:r>
    </w:p>
    <w:p w:rsidR="003C284C" w:rsidRPr="00310987" w:rsidRDefault="003C284C" w:rsidP="003C284C">
      <w:pPr>
        <w:pStyle w:val="BodyText"/>
      </w:pPr>
      <w:r w:rsidRPr="00310987">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It is the responsibility of the instructor to make every reasonable effort to honor the student request without penalty, and of the student to make up the work missed.  See </w:t>
      </w:r>
      <w:hyperlink r:id="rId20" w:history="1">
        <w:r w:rsidRPr="00310987">
          <w:rPr>
            <w:rStyle w:val="Hyperlink"/>
          </w:rPr>
          <w:t>University Policy S14-7</w:t>
        </w:r>
      </w:hyperlink>
      <w:r w:rsidRPr="00310987">
        <w:t xml:space="preserve"> at </w:t>
      </w:r>
      <w:hyperlink r:id="rId21" w:history="1">
        <w:r w:rsidRPr="00EA0332">
          <w:rPr>
            <w:rStyle w:val="Hyperlink"/>
          </w:rPr>
          <w:t>http://www.sjsu.edu/senate/docs/S14-7.pdf</w:t>
        </w:r>
      </w:hyperlink>
      <w:r>
        <w:t xml:space="preserve"> </w:t>
      </w:r>
      <w:r w:rsidRPr="00310987">
        <w:t>.</w:t>
      </w:r>
    </w:p>
    <w:p w:rsidR="003C284C" w:rsidRPr="00310987" w:rsidRDefault="003C284C" w:rsidP="003C284C">
      <w:pPr>
        <w:pStyle w:val="Heading2"/>
      </w:pPr>
      <w:r w:rsidRPr="00310987">
        <w:t xml:space="preserve">Student Technology Resources </w:t>
      </w:r>
    </w:p>
    <w:p w:rsidR="003C284C" w:rsidRPr="00304E32" w:rsidRDefault="003C284C" w:rsidP="003C284C">
      <w:r w:rsidRPr="00310987">
        <w:t xml:space="preserve">Computer labs for student use are available in the </w:t>
      </w:r>
      <w:hyperlink r:id="rId22" w:history="1">
        <w:r w:rsidRPr="00310987">
          <w:rPr>
            <w:rStyle w:val="Hyperlink"/>
          </w:rPr>
          <w:t xml:space="preserve">Academic </w:t>
        </w:r>
        <w:r w:rsidRPr="00310987">
          <w:rPr>
            <w:rStyle w:val="Hyperlink"/>
          </w:rPr>
          <w:t>S</w:t>
        </w:r>
        <w:r w:rsidRPr="00310987">
          <w:rPr>
            <w:rStyle w:val="Hyperlink"/>
          </w:rPr>
          <w:t>ucce</w:t>
        </w:r>
        <w:r w:rsidRPr="00310987">
          <w:rPr>
            <w:rStyle w:val="Hyperlink"/>
          </w:rPr>
          <w:t>s</w:t>
        </w:r>
        <w:r w:rsidRPr="00310987">
          <w:rPr>
            <w:rStyle w:val="Hyperlink"/>
          </w:rPr>
          <w:t>s Center</w:t>
        </w:r>
      </w:hyperlink>
      <w:r w:rsidRPr="00310987">
        <w:t xml:space="preserve"> at </w:t>
      </w:r>
      <w:hyperlink r:id="rId23" w:history="1">
        <w:r w:rsidRPr="00EA0332">
          <w:rPr>
            <w:rStyle w:val="Hyperlink"/>
          </w:rPr>
          <w:t>http://www.sjsu.edu/at/asc/</w:t>
        </w:r>
      </w:hyperlink>
      <w:r>
        <w:t xml:space="preserve"> </w:t>
      </w:r>
      <w:r w:rsidRPr="00310987">
        <w:t xml:space="preserve"> located on the 1st floor of Clark Hall and in the Associated Students Lab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DV and HD digital camcorders; digital still cameras; video, slide and overhead projectors; DVD, CD, and audiotape players; sound systems, wireless microphones, projection screens and monitors.</w:t>
      </w:r>
      <w:r>
        <w:t xml:space="preserve"> </w:t>
      </w:r>
      <w:r>
        <w:rPr>
          <w:b/>
        </w:rPr>
        <w:t xml:space="preserve">Please familiarize yourself with all of the printing resources </w:t>
      </w:r>
      <w:r w:rsidRPr="00304E32">
        <w:rPr>
          <w:b/>
          <w:i/>
        </w:rPr>
        <w:t>on campus and off campus</w:t>
      </w:r>
      <w:r>
        <w:rPr>
          <w:b/>
        </w:rPr>
        <w:t xml:space="preserve"> early on!</w:t>
      </w:r>
      <w:r>
        <w:t xml:space="preserve"> “My printer died” and “The Print Shop wasn’t open yet” are not valid excuses for not having your work ready to turn in when it’s due.</w:t>
      </w:r>
    </w:p>
    <w:p w:rsidR="003C284C" w:rsidRPr="00310987" w:rsidRDefault="003C284C" w:rsidP="003C284C">
      <w:pPr>
        <w:pStyle w:val="Heading2"/>
      </w:pPr>
      <w:r w:rsidRPr="00310987">
        <w:t xml:space="preserve">SJSU Peer Connections </w:t>
      </w:r>
    </w:p>
    <w:p w:rsidR="003C284C" w:rsidRPr="00310987" w:rsidRDefault="003C284C" w:rsidP="003C284C">
      <w:r w:rsidRPr="00310987">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w:t>
      </w:r>
      <w:r w:rsidRPr="00304E32">
        <w:rPr>
          <w:b/>
        </w:rPr>
        <w:t>course-content based tutoring, enhanced study and time management skills</w:t>
      </w:r>
      <w:r w:rsidRPr="00310987">
        <w:t>, more effective critica</w:t>
      </w:r>
      <w:r>
        <w:t>l thinking strategies, decision-</w:t>
      </w:r>
      <w:r w:rsidRPr="00310987">
        <w:t xml:space="preserve">making and problem-solving abilities, and campus resource referrals.  </w:t>
      </w:r>
    </w:p>
    <w:p w:rsidR="003C284C" w:rsidRPr="00310987" w:rsidRDefault="003C284C" w:rsidP="003C284C"/>
    <w:p w:rsidR="003C284C" w:rsidRPr="00310987" w:rsidRDefault="003C284C" w:rsidP="003C284C">
      <w:r w:rsidRPr="00310987">
        <w:t>In addition to offering small group, individual, and drop-in tutoring for a number of undergraduate courses, consultation with mentors is available on a drop-in or by appointment basis.   Workshops are offered on a wide variety of</w:t>
      </w:r>
      <w:r>
        <w:t xml:space="preserve"> topics</w:t>
      </w:r>
      <w:r w:rsidRPr="00310987">
        <w:t xml:space="preserve">.  </w:t>
      </w:r>
      <w:r w:rsidRPr="00304E32">
        <w:rPr>
          <w:b/>
        </w:rPr>
        <w:t>A computer lab and study space are also available</w:t>
      </w:r>
      <w:r w:rsidRPr="00310987">
        <w:t xml:space="preserve"> for student use in Room 600 of Student Services Center (SSC). </w:t>
      </w:r>
    </w:p>
    <w:p w:rsidR="003C284C" w:rsidRPr="00310987" w:rsidRDefault="003C284C" w:rsidP="003C284C"/>
    <w:p w:rsidR="003C284C" w:rsidRPr="00310987" w:rsidRDefault="003C284C" w:rsidP="003C284C">
      <w:r w:rsidRPr="00310987">
        <w:t xml:space="preserve">Peer Connections is located in </w:t>
      </w:r>
      <w:r w:rsidRPr="00304E32">
        <w:rPr>
          <w:b/>
        </w:rPr>
        <w:t>three locations</w:t>
      </w:r>
      <w:r w:rsidRPr="00310987">
        <w:t>: SSC, Room 600 (10th Street Garage on the corner of 10</w:t>
      </w:r>
      <w:r w:rsidRPr="00310987">
        <w:rPr>
          <w:vertAlign w:val="superscript"/>
        </w:rPr>
        <w:t>th</w:t>
      </w:r>
      <w:r w:rsidRPr="00310987">
        <w:t xml:space="preserve"> and San Fernando Street), at the 1st floor entrance of Clark Hall, and in the Living Learning Center (LLC) in Campus Village Housing Building B.  Visit </w:t>
      </w:r>
      <w:hyperlink r:id="rId24" w:history="1">
        <w:r w:rsidRPr="00310987">
          <w:rPr>
            <w:rStyle w:val="Hyperlink"/>
            <w:bCs/>
            <w:iCs/>
          </w:rPr>
          <w:t>Peer Connections web</w:t>
        </w:r>
        <w:r w:rsidRPr="00310987">
          <w:rPr>
            <w:rStyle w:val="Hyperlink"/>
            <w:bCs/>
            <w:iCs/>
          </w:rPr>
          <w:t>s</w:t>
        </w:r>
        <w:r w:rsidRPr="00310987">
          <w:rPr>
            <w:rStyle w:val="Hyperlink"/>
            <w:bCs/>
            <w:iCs/>
          </w:rPr>
          <w:t>ite</w:t>
        </w:r>
      </w:hyperlink>
      <w:r w:rsidRPr="00310987">
        <w:t xml:space="preserve"> at http://peerconnections.sjsu.edu for more information.</w:t>
      </w:r>
    </w:p>
    <w:p w:rsidR="003C284C" w:rsidRPr="00304E32" w:rsidRDefault="003C284C" w:rsidP="003C284C">
      <w:pPr>
        <w:pStyle w:val="Heading2"/>
        <w:rPr>
          <w:b w:val="0"/>
          <w:szCs w:val="36"/>
        </w:rPr>
      </w:pPr>
      <w:r w:rsidRPr="00310987">
        <w:rPr>
          <w:szCs w:val="36"/>
        </w:rPr>
        <w:lastRenderedPageBreak/>
        <w:t xml:space="preserve">SJSU Writing Center </w:t>
      </w:r>
      <w:proofErr w:type="gramStart"/>
      <w:r w:rsidRPr="00304E32">
        <w:rPr>
          <w:b w:val="0"/>
          <w:color w:val="222222"/>
        </w:rPr>
        <w:t>The</w:t>
      </w:r>
      <w:proofErr w:type="gramEnd"/>
      <w:r w:rsidRPr="00304E32">
        <w:rPr>
          <w:b w:val="0"/>
          <w:color w:val="222222"/>
        </w:rPr>
        <w:t xml:space="preserv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5" w:history="1">
        <w:r w:rsidRPr="00304E32">
          <w:rPr>
            <w:rStyle w:val="Hyperlink"/>
            <w:b w:val="0"/>
          </w:rPr>
          <w:t>Writing C</w:t>
        </w:r>
        <w:r w:rsidRPr="00304E32">
          <w:rPr>
            <w:rStyle w:val="Hyperlink"/>
            <w:b w:val="0"/>
          </w:rPr>
          <w:t>e</w:t>
        </w:r>
        <w:r w:rsidRPr="00304E32">
          <w:rPr>
            <w:rStyle w:val="Hyperlink"/>
            <w:b w:val="0"/>
          </w:rPr>
          <w:t>nt</w:t>
        </w:r>
        <w:r w:rsidRPr="00304E32">
          <w:rPr>
            <w:rStyle w:val="Hyperlink"/>
            <w:b w:val="0"/>
          </w:rPr>
          <w:t>e</w:t>
        </w:r>
        <w:r w:rsidRPr="00304E32">
          <w:rPr>
            <w:rStyle w:val="Hyperlink"/>
            <w:b w:val="0"/>
          </w:rPr>
          <w:t>r website</w:t>
        </w:r>
      </w:hyperlink>
      <w:r w:rsidRPr="00304E32">
        <w:rPr>
          <w:b w:val="0"/>
          <w:color w:val="222222"/>
        </w:rPr>
        <w:t xml:space="preserve"> at http://www.sjsu.edu/writingcenter. For additional resources and updated information, follow the Writing Center on Twitter and become a fan of the SJSU Writing Center on Facebook. </w:t>
      </w:r>
    </w:p>
    <w:p w:rsidR="003C284C" w:rsidRPr="00304E32" w:rsidRDefault="003C284C" w:rsidP="003C284C">
      <w:pPr>
        <w:pStyle w:val="Heading2"/>
        <w:rPr>
          <w:color w:val="222222"/>
        </w:rPr>
      </w:pPr>
      <w:r w:rsidRPr="00310987">
        <w:t xml:space="preserve">SJSU Counseling </w:t>
      </w:r>
      <w:proofErr w:type="gramStart"/>
      <w:r w:rsidRPr="00310987">
        <w:t xml:space="preserve">Services </w:t>
      </w:r>
      <w:r>
        <w:rPr>
          <w:color w:val="222222"/>
        </w:rPr>
        <w:t xml:space="preserve"> </w:t>
      </w:r>
      <w:r w:rsidRPr="00310987">
        <w:rPr>
          <w:rFonts w:cs="Times New Roman"/>
          <w:b w:val="0"/>
        </w:rPr>
        <w:t>The</w:t>
      </w:r>
      <w:proofErr w:type="gramEnd"/>
      <w:r w:rsidRPr="00310987">
        <w:rPr>
          <w:rFonts w:cs="Times New Roman"/>
          <w:b w:val="0"/>
        </w:rPr>
        <w:t xml:space="preserve"> SJSU Counseling Services is located on the corner of 7</w:t>
      </w:r>
      <w:r w:rsidRPr="00310987">
        <w:rPr>
          <w:rFonts w:cs="Times New Roman"/>
          <w:b w:val="0"/>
          <w:vertAlign w:val="superscript"/>
        </w:rPr>
        <w:t>th</w:t>
      </w:r>
      <w:r w:rsidRPr="00310987">
        <w:rPr>
          <w:rFonts w:cs="Times New Roman"/>
          <w:b w:val="0"/>
        </w:rPr>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6" w:history="1">
        <w:r w:rsidRPr="00310987">
          <w:rPr>
            <w:rStyle w:val="Hyperlink"/>
            <w:b w:val="0"/>
          </w:rPr>
          <w:t>Cou</w:t>
        </w:r>
        <w:r w:rsidRPr="00310987">
          <w:rPr>
            <w:rStyle w:val="Hyperlink"/>
            <w:b w:val="0"/>
          </w:rPr>
          <w:t>n</w:t>
        </w:r>
        <w:r w:rsidRPr="00310987">
          <w:rPr>
            <w:rStyle w:val="Hyperlink"/>
            <w:b w:val="0"/>
          </w:rPr>
          <w:t>seling Services we</w:t>
        </w:r>
        <w:r w:rsidRPr="00310987">
          <w:rPr>
            <w:rStyle w:val="Hyperlink"/>
            <w:b w:val="0"/>
          </w:rPr>
          <w:t>b</w:t>
        </w:r>
        <w:r w:rsidRPr="00310987">
          <w:rPr>
            <w:rStyle w:val="Hyperlink"/>
            <w:b w:val="0"/>
          </w:rPr>
          <w:t>site</w:t>
        </w:r>
      </w:hyperlink>
      <w:r w:rsidRPr="00310987">
        <w:rPr>
          <w:rFonts w:cs="Times New Roman"/>
          <w:b w:val="0"/>
        </w:rPr>
        <w:t xml:space="preserve"> at http://www.sjsu.edu/counseling</w:t>
      </w:r>
      <w:r w:rsidRPr="00310987">
        <w:rPr>
          <w:rFonts w:cs="Times New Roman"/>
        </w:rPr>
        <w:t>.</w:t>
      </w:r>
    </w:p>
    <w:p w:rsidR="00DA65A2" w:rsidRDefault="00DA65A2" w:rsidP="003C284C">
      <w:bookmarkStart w:id="0" w:name="_GoBack"/>
      <w:bookmarkEnd w:id="0"/>
    </w:p>
    <w:sectPr w:rsidR="00DA6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F5266D"/>
    <w:multiLevelType w:val="hybridMultilevel"/>
    <w:tmpl w:val="C7020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95797"/>
    <w:multiLevelType w:val="hybridMultilevel"/>
    <w:tmpl w:val="6602F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4F4087"/>
    <w:multiLevelType w:val="hybridMultilevel"/>
    <w:tmpl w:val="C19A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4C"/>
    <w:rsid w:val="003C284C"/>
    <w:rsid w:val="00DA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08AA0-546C-4A2E-AE50-4B976963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4C"/>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3C284C"/>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3C284C"/>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3C284C"/>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84C"/>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3C284C"/>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3C284C"/>
    <w:rPr>
      <w:rFonts w:ascii="Times New Roman" w:eastAsia="Times New Roman" w:hAnsi="Times New Roman" w:cs="Times New Roman"/>
      <w:b/>
      <w:bCs/>
      <w:szCs w:val="24"/>
    </w:rPr>
  </w:style>
  <w:style w:type="paragraph" w:customStyle="1" w:styleId="Normalnumbered">
    <w:name w:val="Normal numbered"/>
    <w:basedOn w:val="Normal"/>
    <w:rsid w:val="003C284C"/>
    <w:pPr>
      <w:numPr>
        <w:numId w:val="1"/>
      </w:numPr>
      <w:spacing w:after="120"/>
    </w:pPr>
    <w:rPr>
      <w:rFonts w:eastAsia="Times New Roman"/>
      <w:lang w:eastAsia="en-US"/>
    </w:rPr>
  </w:style>
  <w:style w:type="paragraph" w:styleId="BodyText">
    <w:name w:val="Body Text"/>
    <w:basedOn w:val="Normal"/>
    <w:link w:val="BodyTextChar"/>
    <w:rsid w:val="003C284C"/>
    <w:pPr>
      <w:spacing w:after="120"/>
    </w:pPr>
    <w:rPr>
      <w:rFonts w:eastAsia="Times New Roman"/>
      <w:lang w:eastAsia="en-US"/>
    </w:rPr>
  </w:style>
  <w:style w:type="character" w:customStyle="1" w:styleId="BodyTextChar">
    <w:name w:val="Body Text Char"/>
    <w:basedOn w:val="DefaultParagraphFont"/>
    <w:link w:val="BodyText"/>
    <w:rsid w:val="003C284C"/>
    <w:rPr>
      <w:rFonts w:ascii="Times New Roman" w:eastAsia="Times New Roman" w:hAnsi="Times New Roman" w:cs="Times New Roman"/>
      <w:sz w:val="24"/>
      <w:szCs w:val="24"/>
    </w:rPr>
  </w:style>
  <w:style w:type="character" w:styleId="Hyperlink">
    <w:name w:val="Hyperlink"/>
    <w:rsid w:val="003C284C"/>
    <w:rPr>
      <w:color w:val="0000FF"/>
      <w:u w:val="single"/>
    </w:rPr>
  </w:style>
  <w:style w:type="paragraph" w:customStyle="1" w:styleId="contactheading">
    <w:name w:val="contact heading"/>
    <w:basedOn w:val="Heading2"/>
    <w:rsid w:val="003C284C"/>
    <w:pPr>
      <w:spacing w:before="120"/>
    </w:pPr>
  </w:style>
  <w:style w:type="paragraph" w:styleId="NormalWeb">
    <w:name w:val="Normal (Web)"/>
    <w:basedOn w:val="Normal"/>
    <w:uiPriority w:val="99"/>
    <w:unhideWhenUsed/>
    <w:rsid w:val="003C284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docs/S90-5.pdf" TargetMode="External"/><Relationship Id="rId13" Type="http://schemas.openxmlformats.org/officeDocument/2006/relationships/hyperlink" Target="http://www.sjsu.edu/advising/" TargetMode="External"/><Relationship Id="rId18" Type="http://schemas.openxmlformats.org/officeDocument/2006/relationships/hyperlink" Target="http://www.sjsu.edu/president/docs/directives/PD_1997-03.pdf" TargetMode="External"/><Relationship Id="rId26" Type="http://schemas.openxmlformats.org/officeDocument/2006/relationships/hyperlink" Target="http://www.sjsu.edu/counseling" TargetMode="External"/><Relationship Id="rId3" Type="http://schemas.openxmlformats.org/officeDocument/2006/relationships/settings" Target="settings.xml"/><Relationship Id="rId21" Type="http://schemas.openxmlformats.org/officeDocument/2006/relationships/hyperlink" Target="http://www.sjsu.edu/senate/docs/S14-7.pdf" TargetMode="External"/><Relationship Id="rId7" Type="http://schemas.openxmlformats.org/officeDocument/2006/relationships/hyperlink" Target="http://www.sjsu.edu/senate/docs/S12-3.pdf" TargetMode="External"/><Relationship Id="rId12" Type="http://schemas.openxmlformats.org/officeDocument/2006/relationships/hyperlink" Target="http://www.sjsu.edu/aars/policies/latedrops/policy/" TargetMode="External"/><Relationship Id="rId17" Type="http://schemas.openxmlformats.org/officeDocument/2006/relationships/hyperlink" Target="http://www.sjsu.edu/studentconduct/" TargetMode="External"/><Relationship Id="rId25" Type="http://schemas.openxmlformats.org/officeDocument/2006/relationships/hyperlink" Target="http://www.sjsu.edu/writingcenter" TargetMode="External"/><Relationship Id="rId2" Type="http://schemas.openxmlformats.org/officeDocument/2006/relationships/styles" Target="styles.xml"/><Relationship Id="rId16" Type="http://schemas.openxmlformats.org/officeDocument/2006/relationships/hyperlink" Target="http://www.sjsu.edu/studentconduct/" TargetMode="External"/><Relationship Id="rId20" Type="http://schemas.openxmlformats.org/officeDocument/2006/relationships/hyperlink" Target="http://www.sjsu.edu/senate/docs/S14-7.pdf" TargetMode="External"/><Relationship Id="rId1" Type="http://schemas.openxmlformats.org/officeDocument/2006/relationships/numbering" Target="numbering.xml"/><Relationship Id="rId6" Type="http://schemas.openxmlformats.org/officeDocument/2006/relationships/hyperlink" Target="http://www.spartanbookstore.com/TextBookDetail.aspx?BookPriceID=5901869&amp;MBSNumber=943075&amp;SecID=1982038&amp;trm=FALL%2010" TargetMode="External"/><Relationship Id="rId11" Type="http://schemas.openxmlformats.org/officeDocument/2006/relationships/hyperlink" Target="http://www.sjsu.edu/provost/services/academic_calendars/" TargetMode="External"/><Relationship Id="rId24" Type="http://schemas.openxmlformats.org/officeDocument/2006/relationships/hyperlink" Target="http://peerconnections.sjsu.edu" TargetMode="External"/><Relationship Id="rId5" Type="http://schemas.openxmlformats.org/officeDocument/2006/relationships/hyperlink" Target="http://www.sjsu.edu/people/julie.sparks/courses/" TargetMode="External"/><Relationship Id="rId15" Type="http://schemas.openxmlformats.org/officeDocument/2006/relationships/hyperlink" Target="http://www.sjsu.edu/senate/docs/S07-2.pdf" TargetMode="External"/><Relationship Id="rId23" Type="http://schemas.openxmlformats.org/officeDocument/2006/relationships/hyperlink" Target="http://www.sjsu.edu/at/asc/" TargetMode="External"/><Relationship Id="rId28" Type="http://schemas.openxmlformats.org/officeDocument/2006/relationships/theme" Target="theme/theme1.xml"/><Relationship Id="rId10" Type="http://schemas.openxmlformats.org/officeDocument/2006/relationships/hyperlink" Target="http://info.sjsu.edu/static/catalog/policies.html" TargetMode="External"/><Relationship Id="rId19" Type="http://schemas.openxmlformats.org/officeDocument/2006/relationships/hyperlink" Target="http://www.sjsu.edu/aec" TargetMode="External"/><Relationship Id="rId4" Type="http://schemas.openxmlformats.org/officeDocument/2006/relationships/webSettings" Target="webSettings.xml"/><Relationship Id="rId9" Type="http://schemas.openxmlformats.org/officeDocument/2006/relationships/hyperlink" Target="http://info.sjsu.edu/web-dbgen/narr/catalog/rec-12234.12506.html" TargetMode="External"/><Relationship Id="rId14" Type="http://schemas.openxmlformats.org/officeDocument/2006/relationships/hyperlink" Target="http://www.sjsu.edu/senate/docs/S12-7.pdf" TargetMode="External"/><Relationship Id="rId22" Type="http://schemas.openxmlformats.org/officeDocument/2006/relationships/hyperlink" Target="http://www.sjsu.edu/at/as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cfd1 lab user</dc:creator>
  <cp:keywords/>
  <dc:description/>
  <cp:lastModifiedBy>cfd1 lab user</cp:lastModifiedBy>
  <cp:revision>1</cp:revision>
  <dcterms:created xsi:type="dcterms:W3CDTF">2015-08-18T23:21:00Z</dcterms:created>
  <dcterms:modified xsi:type="dcterms:W3CDTF">2015-08-18T23:22:00Z</dcterms:modified>
</cp:coreProperties>
</file>